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95757" w14:textId="77777777" w:rsidR="00AB0418" w:rsidRPr="00164A41" w:rsidRDefault="00AB0418" w:rsidP="00AB0418">
      <w:pPr>
        <w:keepNext/>
        <w:tabs>
          <w:tab w:val="num" w:pos="0"/>
        </w:tabs>
        <w:suppressAutoHyphens/>
        <w:spacing w:after="0" w:line="240" w:lineRule="auto"/>
        <w:ind w:right="-92"/>
        <w:jc w:val="center"/>
        <w:outlineLvl w:val="0"/>
        <w:rPr>
          <w:rFonts w:ascii="Times New Roman" w:eastAsia="Times New Roman" w:hAnsi="Times New Roman" w:cs="Times New Roman"/>
          <w:b/>
          <w:noProof/>
          <w:sz w:val="32"/>
          <w:szCs w:val="32"/>
          <w:lang w:eastAsia="zh-CN"/>
        </w:rPr>
      </w:pPr>
      <w:r w:rsidRPr="00164A41">
        <w:rPr>
          <w:rFonts w:ascii="Times New Roman" w:eastAsia="Times New Roman" w:hAnsi="Times New Roman" w:cs="Times New Roman"/>
          <w:b/>
          <w:noProof/>
          <w:sz w:val="32"/>
          <w:szCs w:val="32"/>
          <w:lang w:eastAsia="hr-HR"/>
        </w:rPr>
        <w:t>PRORAČUNSKI KORISNIK</w:t>
      </w:r>
    </w:p>
    <w:p w14:paraId="2C088EB5" w14:textId="77777777" w:rsidR="00AB0418" w:rsidRPr="00164A41" w:rsidRDefault="00AB0418" w:rsidP="00AB0418">
      <w:pPr>
        <w:ind w:right="-92"/>
        <w:jc w:val="center"/>
        <w:rPr>
          <w:rFonts w:ascii="Times New Roman" w:hAnsi="Times New Roman" w:cs="Times New Roman"/>
          <w:noProof/>
          <w:sz w:val="32"/>
          <w:szCs w:val="32"/>
          <w:lang w:eastAsia="hr-HR"/>
        </w:rPr>
      </w:pPr>
    </w:p>
    <w:p w14:paraId="5F577105" w14:textId="77777777" w:rsidR="00AB0418" w:rsidRPr="00164A41" w:rsidRDefault="00AB0418" w:rsidP="00AB0418">
      <w:pPr>
        <w:ind w:right="-92"/>
        <w:jc w:val="center"/>
        <w:rPr>
          <w:rFonts w:ascii="Times New Roman" w:hAnsi="Times New Roman" w:cs="Times New Roman"/>
          <w:noProof/>
          <w:sz w:val="32"/>
          <w:szCs w:val="32"/>
          <w:lang w:eastAsia="hr-HR"/>
        </w:rPr>
      </w:pPr>
    </w:p>
    <w:p w14:paraId="3897C0A8" w14:textId="77777777" w:rsidR="00AB0418" w:rsidRPr="00164A41" w:rsidRDefault="00AB0418" w:rsidP="00AB0418">
      <w:pPr>
        <w:ind w:right="-92"/>
        <w:rPr>
          <w:rFonts w:ascii="Times New Roman" w:hAnsi="Times New Roman" w:cs="Times New Roman"/>
          <w:noProof/>
          <w:sz w:val="32"/>
          <w:szCs w:val="32"/>
          <w:lang w:eastAsia="hr-HR"/>
        </w:rPr>
      </w:pPr>
    </w:p>
    <w:p w14:paraId="30C6BFD4" w14:textId="77777777" w:rsidR="00AB0418" w:rsidRPr="00164A41" w:rsidRDefault="00AB0418" w:rsidP="00AB0418">
      <w:pPr>
        <w:ind w:right="-92"/>
        <w:jc w:val="center"/>
        <w:rPr>
          <w:rFonts w:ascii="Times New Roman" w:hAnsi="Times New Roman" w:cs="Times New Roman"/>
          <w:b/>
          <w:noProof/>
          <w:sz w:val="32"/>
          <w:szCs w:val="32"/>
          <w:lang w:eastAsia="hr-HR"/>
        </w:rPr>
      </w:pPr>
    </w:p>
    <w:p w14:paraId="53B9F6D7" w14:textId="77777777" w:rsidR="00AB0418" w:rsidRPr="00164A41" w:rsidRDefault="00AB0418" w:rsidP="00AB0418">
      <w:pPr>
        <w:tabs>
          <w:tab w:val="center" w:pos="4749"/>
          <w:tab w:val="left" w:pos="7635"/>
        </w:tabs>
        <w:ind w:right="-92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164A41"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t>DJEČJI VRTIĆ OPATIJA</w:t>
      </w:r>
    </w:p>
    <w:p w14:paraId="203F733E" w14:textId="77777777" w:rsidR="00AB0418" w:rsidRPr="00164A41" w:rsidRDefault="00AB0418" w:rsidP="00AB0418">
      <w:pPr>
        <w:ind w:right="-92"/>
        <w:jc w:val="center"/>
        <w:rPr>
          <w:rFonts w:ascii="Times New Roman" w:hAnsi="Times New Roman" w:cs="Times New Roman"/>
          <w:b/>
          <w:noProof/>
          <w:sz w:val="32"/>
          <w:szCs w:val="32"/>
          <w:lang w:eastAsia="hr-HR"/>
        </w:rPr>
      </w:pPr>
    </w:p>
    <w:p w14:paraId="3D34E2E5" w14:textId="77777777" w:rsidR="00AB0418" w:rsidRPr="00164A41" w:rsidRDefault="00AB0418" w:rsidP="00AB0418">
      <w:pPr>
        <w:spacing w:after="120"/>
        <w:ind w:right="-91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164A41"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t>IZVRŠENJE FINANCIJSKOG PLANA</w:t>
      </w:r>
    </w:p>
    <w:p w14:paraId="30F14F12" w14:textId="6140EB68" w:rsidR="00AB0418" w:rsidRPr="00164A41" w:rsidRDefault="00AB0418" w:rsidP="00AB0418">
      <w:pPr>
        <w:spacing w:after="120"/>
        <w:ind w:right="-91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164A41"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t>ZA RAZDOBLJE SIJEČANJ - PROSINAC 2023. GODIN</w:t>
      </w:r>
      <w:r w:rsidR="0012080C"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t>E</w:t>
      </w:r>
    </w:p>
    <w:p w14:paraId="34734440" w14:textId="77777777" w:rsidR="00AB0418" w:rsidRPr="00164A41" w:rsidRDefault="00AB0418" w:rsidP="00AB0418">
      <w:pPr>
        <w:ind w:right="-92"/>
        <w:jc w:val="center"/>
        <w:rPr>
          <w:b/>
          <w:noProof/>
          <w:sz w:val="32"/>
          <w:szCs w:val="32"/>
          <w:lang w:eastAsia="hr-HR"/>
        </w:rPr>
      </w:pPr>
    </w:p>
    <w:p w14:paraId="450E1581" w14:textId="77777777" w:rsidR="00AB0418" w:rsidRPr="00164A41" w:rsidRDefault="00AB0418" w:rsidP="00AB0418">
      <w:pPr>
        <w:keepNext/>
        <w:tabs>
          <w:tab w:val="num" w:pos="0"/>
        </w:tabs>
        <w:suppressAutoHyphens/>
        <w:spacing w:after="0" w:line="240" w:lineRule="auto"/>
        <w:ind w:right="-92"/>
        <w:jc w:val="center"/>
        <w:outlineLvl w:val="0"/>
        <w:rPr>
          <w:rFonts w:ascii="Times New Roman" w:eastAsia="Times New Roman" w:hAnsi="Times New Roman" w:cs="Times New Roman"/>
          <w:noProof/>
          <w:lang w:eastAsia="hr-HR"/>
        </w:rPr>
      </w:pPr>
    </w:p>
    <w:p w14:paraId="485BCFED" w14:textId="77777777" w:rsidR="00AB0418" w:rsidRPr="00164A41" w:rsidRDefault="00AB0418" w:rsidP="00AB0418">
      <w:pPr>
        <w:jc w:val="center"/>
        <w:rPr>
          <w:noProof/>
          <w:lang w:eastAsia="hr-HR"/>
        </w:rPr>
      </w:pPr>
    </w:p>
    <w:p w14:paraId="05449DAE" w14:textId="77777777" w:rsidR="00AB0418" w:rsidRPr="00164A41" w:rsidRDefault="00AB0418" w:rsidP="00AB0418">
      <w:pPr>
        <w:jc w:val="center"/>
        <w:rPr>
          <w:noProof/>
          <w:lang w:eastAsia="hr-HR"/>
        </w:rPr>
      </w:pPr>
    </w:p>
    <w:p w14:paraId="3461C2E0" w14:textId="77777777" w:rsidR="00AB0418" w:rsidRPr="00164A41" w:rsidRDefault="00AB0418" w:rsidP="00AB0418">
      <w:pPr>
        <w:rPr>
          <w:noProof/>
          <w:lang w:eastAsia="hr-HR"/>
        </w:rPr>
      </w:pPr>
    </w:p>
    <w:p w14:paraId="257DDABA" w14:textId="77777777" w:rsidR="00AB0418" w:rsidRPr="00164A41" w:rsidRDefault="00AB0418" w:rsidP="00AB0418">
      <w:pPr>
        <w:jc w:val="center"/>
        <w:rPr>
          <w:noProof/>
          <w:lang w:eastAsia="hr-HR"/>
        </w:rPr>
      </w:pPr>
      <w:r w:rsidRPr="00164A41">
        <w:rPr>
          <w:noProof/>
        </w:rPr>
        <w:drawing>
          <wp:inline distT="0" distB="0" distL="0" distR="0" wp14:anchorId="02411E71" wp14:editId="173981A3">
            <wp:extent cx="1729740" cy="1532055"/>
            <wp:effectExtent l="0" t="0" r="3810" b="0"/>
            <wp:docPr id="1" name="Picture 1" descr="cid:image001.png@01D8CE89.32567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CE89.32567D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197" cy="155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CD2C1" w14:textId="77777777" w:rsidR="00AB0418" w:rsidRPr="00164A41" w:rsidRDefault="00AB0418" w:rsidP="00AB0418">
      <w:pPr>
        <w:jc w:val="center"/>
        <w:rPr>
          <w:noProof/>
          <w:lang w:eastAsia="hr-HR"/>
        </w:rPr>
      </w:pPr>
    </w:p>
    <w:p w14:paraId="006E375E" w14:textId="77777777" w:rsidR="00AB0418" w:rsidRPr="00164A41" w:rsidRDefault="00AB0418" w:rsidP="00AB0418">
      <w:pPr>
        <w:jc w:val="center"/>
        <w:rPr>
          <w:noProof/>
          <w:lang w:eastAsia="hr-HR"/>
        </w:rPr>
      </w:pPr>
    </w:p>
    <w:p w14:paraId="1F4ED14A" w14:textId="77777777" w:rsidR="00AB0418" w:rsidRPr="00164A41" w:rsidRDefault="00AB0418" w:rsidP="00AB0418">
      <w:pPr>
        <w:jc w:val="center"/>
        <w:rPr>
          <w:noProof/>
          <w:lang w:eastAsia="hr-HR"/>
        </w:rPr>
      </w:pPr>
    </w:p>
    <w:p w14:paraId="2DBFC9F2" w14:textId="77777777" w:rsidR="00AB0418" w:rsidRPr="00164A41" w:rsidRDefault="00AB0418" w:rsidP="00AB0418">
      <w:pPr>
        <w:jc w:val="center"/>
        <w:rPr>
          <w:noProof/>
          <w:lang w:eastAsia="hr-HR"/>
        </w:rPr>
      </w:pPr>
    </w:p>
    <w:p w14:paraId="31B30186" w14:textId="77777777" w:rsidR="00AB0418" w:rsidRPr="00164A41" w:rsidRDefault="00AB0418" w:rsidP="00AB0418">
      <w:pPr>
        <w:jc w:val="center"/>
        <w:rPr>
          <w:noProof/>
          <w:lang w:eastAsia="hr-HR"/>
        </w:rPr>
      </w:pPr>
    </w:p>
    <w:p w14:paraId="3B4E4124" w14:textId="77777777" w:rsidR="00AB0418" w:rsidRPr="00164A41" w:rsidRDefault="00AB0418" w:rsidP="00AB0418">
      <w:pPr>
        <w:jc w:val="center"/>
        <w:rPr>
          <w:noProof/>
          <w:lang w:eastAsia="hr-HR"/>
        </w:rPr>
      </w:pPr>
    </w:p>
    <w:p w14:paraId="4425E0E6" w14:textId="77777777" w:rsidR="00AB0418" w:rsidRPr="00164A41" w:rsidRDefault="00AB0418" w:rsidP="00AB0418">
      <w:pPr>
        <w:jc w:val="center"/>
        <w:rPr>
          <w:noProof/>
          <w:lang w:eastAsia="hr-HR"/>
        </w:rPr>
      </w:pPr>
    </w:p>
    <w:p w14:paraId="7C31BF67" w14:textId="77777777" w:rsidR="00AB0418" w:rsidRPr="00164A41" w:rsidRDefault="00AB0418" w:rsidP="00AB0418">
      <w:pPr>
        <w:rPr>
          <w:noProof/>
          <w:lang w:eastAsia="hr-HR"/>
        </w:rPr>
      </w:pPr>
    </w:p>
    <w:p w14:paraId="1B88C92F" w14:textId="5F1650C0" w:rsidR="00AB0418" w:rsidRPr="00164A41" w:rsidRDefault="00AB0418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64A41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KLASA: 400 – 02/2</w:t>
      </w:r>
      <w:r w:rsidR="005343FD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4</w:t>
      </w:r>
      <w:r w:rsidRPr="00164A41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 xml:space="preserve"> – 01/</w:t>
      </w:r>
      <w:r w:rsidR="005343FD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1</w:t>
      </w:r>
    </w:p>
    <w:p w14:paraId="699ABFCD" w14:textId="3A1DA74C" w:rsidR="00D01F9B" w:rsidRPr="00164A41" w:rsidRDefault="00AB0418" w:rsidP="000F54C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UR. BROJ: 2156 – 10 – 01 - 2</w:t>
      </w:r>
      <w:r w:rsidR="00A6710A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4</w:t>
      </w:r>
      <w:r w:rsidRPr="00164A41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 xml:space="preserve"> – 1</w:t>
      </w:r>
    </w:p>
    <w:p w14:paraId="70BD105C" w14:textId="77777777" w:rsidR="002F156F" w:rsidRPr="00164A41" w:rsidRDefault="002F156F" w:rsidP="000F54C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029810D" w14:textId="77777777" w:rsidR="002F156F" w:rsidRPr="00164A41" w:rsidRDefault="002F156F" w:rsidP="000F54C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3488B4A" w14:textId="77777777" w:rsidR="005F1205" w:rsidRPr="00164A41" w:rsidRDefault="005F1205" w:rsidP="005F120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lastRenderedPageBreak/>
        <w:t xml:space="preserve">OBRAZLOŽENJE GODIŠNJEG IZVJEŠTAJA O IZVRŠENJU  FINANCIJSKOG PLANA DJEČJEG VRTIĆA OPATIJA ZA RAZDOBLJE I. – XII. 2023. </w:t>
      </w:r>
    </w:p>
    <w:p w14:paraId="41147F3B" w14:textId="77777777" w:rsidR="005F1205" w:rsidRPr="00164A41" w:rsidRDefault="005F1205" w:rsidP="00D01F9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A61E342" w14:textId="77777777" w:rsidR="00D01F9B" w:rsidRPr="00164A41" w:rsidRDefault="00D01F9B" w:rsidP="00022F8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</w:rPr>
        <w:t>UVOD</w:t>
      </w:r>
    </w:p>
    <w:p w14:paraId="2858393D" w14:textId="77777777" w:rsidR="009E183D" w:rsidRPr="00164A41" w:rsidRDefault="009E183D" w:rsidP="00022F8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B989FF7" w14:textId="77777777" w:rsidR="003F1DA3" w:rsidRPr="00164A41" w:rsidRDefault="003F1DA3" w:rsidP="00022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Zakonom o proračunu („Narodne novine“ broj 144/21) propisana je obveza sastavljanja </w:t>
      </w:r>
      <w:r w:rsidR="007C0D3A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godišnjeg</w:t>
      </w: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izvještaja o izvršenju </w:t>
      </w:r>
      <w:r w:rsidR="007C0D3A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financijskog plana </w:t>
      </w: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te njegova podnošenja </w:t>
      </w:r>
      <w:r w:rsidR="007C0D3A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upravljačkom tijelu proračunskog korisnika.</w:t>
      </w:r>
    </w:p>
    <w:p w14:paraId="093DB986" w14:textId="77777777" w:rsidR="0059125C" w:rsidRPr="00164A41" w:rsidRDefault="0059125C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Godišnji izvještaj o izvršenju financijskog plana proračunskog korisnika određen je Zakonom o proračunu i Pravilnikom o polugodišnjem i godišnjem izvještaju o izvršenju financijskog plana („Narodne novine“ broj 85/23), a sastoji se od:</w:t>
      </w:r>
    </w:p>
    <w:p w14:paraId="200307A6" w14:textId="77777777" w:rsidR="0059125C" w:rsidRPr="00164A41" w:rsidRDefault="0059125C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F492719" w14:textId="77777777" w:rsidR="0059125C" w:rsidRPr="00164A41" w:rsidRDefault="0059125C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1.</w:t>
      </w:r>
      <w:r w:rsidR="0099651A"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Općeg dijela koji čini:</w:t>
      </w:r>
    </w:p>
    <w:p w14:paraId="246DC1FA" w14:textId="77777777" w:rsidR="0059125C" w:rsidRPr="00164A41" w:rsidRDefault="0099651A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59125C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Sažetak Računa prihoda i rashoda i Računa financiranja</w:t>
      </w:r>
    </w:p>
    <w:p w14:paraId="21B749C5" w14:textId="77777777" w:rsidR="0059125C" w:rsidRPr="00164A41" w:rsidRDefault="0099651A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59125C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Račun prihoda i rashoda prema ekonomskoj klasifikaciji, izvorima financiranja i funkcijskoj klasifikaciji</w:t>
      </w:r>
    </w:p>
    <w:p w14:paraId="0F95DC04" w14:textId="77777777" w:rsidR="0059125C" w:rsidRPr="00164A41" w:rsidRDefault="0099651A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59125C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Račun financiranja prema ekonomskoj klasifikaciji i izvorima financiranja </w:t>
      </w:r>
    </w:p>
    <w:p w14:paraId="032649F1" w14:textId="77777777" w:rsidR="0059125C" w:rsidRPr="00164A41" w:rsidRDefault="0059125C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EEF56C6" w14:textId="77777777" w:rsidR="0059125C" w:rsidRPr="00164A41" w:rsidRDefault="0059125C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2.</w:t>
      </w:r>
      <w:r w:rsidR="00174F38"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Posebnog dijela</w:t>
      </w: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po programskoj klasifikaciji koji sadrži prikaz rashoda i izdataka iskazanih po izvorima financiranja i ekonomskoj klasifikaciji, raspoređenih u programe koji se sastoje od aktivnosti</w:t>
      </w:r>
    </w:p>
    <w:p w14:paraId="6EE0DAEC" w14:textId="77777777" w:rsidR="0059125C" w:rsidRPr="00164A41" w:rsidRDefault="0059125C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33B7D5B" w14:textId="77777777" w:rsidR="0059125C" w:rsidRPr="00164A41" w:rsidRDefault="0059125C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3.</w:t>
      </w:r>
      <w:r w:rsidR="00174F38"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Obrazloženja godišnjeg  izvještaja o izvršenju financijskog plana</w:t>
      </w:r>
    </w:p>
    <w:p w14:paraId="5C44DC01" w14:textId="77777777" w:rsidR="0059125C" w:rsidRPr="00164A41" w:rsidRDefault="000F5F04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59125C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obrazloženje izvršenja općeg dijela </w:t>
      </w: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 izvršenju financijskog plana koje sadrži obrazloženje prihoda i rashoda, primitaka i izdataka te obrazloženje ostvarenog manjka odnosno viška financijskog plana</w:t>
      </w:r>
      <w:r w:rsidR="0059125C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58B90B4C" w14:textId="77777777" w:rsidR="00A40BB0" w:rsidRPr="00164A41" w:rsidRDefault="000F5F04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59125C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obrazloženje posebnog dijela izvještaja o izvršenju </w:t>
      </w: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financijskog plana koje sadrži obrazloženje izvršenja programa koji se sastoji od aktivnosti</w:t>
      </w:r>
    </w:p>
    <w:p w14:paraId="4DF342E4" w14:textId="77777777" w:rsidR="00CC3D98" w:rsidRPr="00164A41" w:rsidRDefault="00CC3D98" w:rsidP="00AB0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085A0E55" w14:textId="77777777" w:rsidR="00AB0418" w:rsidRPr="00164A41" w:rsidRDefault="00AB0418" w:rsidP="00DC4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DJELOKRUG  RADA</w:t>
      </w:r>
    </w:p>
    <w:p w14:paraId="01E47CC5" w14:textId="77777777" w:rsidR="00AB0418" w:rsidRPr="00164A41" w:rsidRDefault="005704F6" w:rsidP="00DC4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</w:t>
      </w:r>
      <w:r w:rsidR="00AB0418" w:rsidRPr="00164A4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rogram predškolskog odgoja i obrazovanja</w:t>
      </w:r>
      <w:r w:rsidR="00AB0418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obuhvaća stvaranje i osiguravanje uvjeta za brigu i skrb djece predškolske dobi provođenjem programa njege, odgoja i obrazovanja, zdravstvene zaštite, prehrane i socijalne skrbi kao i integracije djece s posebnim potrebama u svim objektima Vrtića (Opatija, Volosko, Ičići, Veprinac</w:t>
      </w:r>
      <w:r w:rsidR="006C4964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Lovran</w:t>
      </w:r>
      <w:r w:rsidR="00AB0418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).</w:t>
      </w:r>
    </w:p>
    <w:p w14:paraId="35933349" w14:textId="77777777" w:rsidR="00AB0418" w:rsidRPr="00164A41" w:rsidRDefault="00AB0418" w:rsidP="00022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6B234751" w14:textId="77777777" w:rsidR="00DC42F3" w:rsidRPr="00164A41" w:rsidRDefault="00AB0418" w:rsidP="00DC42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t>ZAKONSKE I DRUGE PRAVNE OSNOVE</w:t>
      </w:r>
    </w:p>
    <w:p w14:paraId="4373F06D" w14:textId="77777777" w:rsidR="00AB0418" w:rsidRPr="00164A41" w:rsidRDefault="00AB0418" w:rsidP="00DC42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Zakonska osnova za utvrđivanje djelokruga rada i utvrđivanje ciljeva programa su Zakon o predškolskom odgoju i obrazovanju, Odluka o elementima standarda društvene brige o djeci predškolskog uzrasta, Odluka o elementu standarda: Specifične potrebe djece s teškoćama u razvoju i Državni pedagoški standard.  Djelokrug rada reguliraju i interni pravilnici, protokoli i drugi akti, i to: Statut Dječjeg vrtića Opatija, Pravilnik o unutarnjem ustrojstvu i načinu rada Dječjeg vrtića Opatija, Pravilnik o radu, Pravilnik o zaštiti na radu, Pravilnik o zaštiti od požara, Poslovnik o radu Upravnog vijeća, Poslovnik o radu Odgajateljskog vijeća, Pravilnik o načinima i uvjetima polaganja stručnog ispita odgojitelja i stručnih suradnika u dječjem vrtiću, Odluka o ostvarivanju prednosti pri upisu djece u programe predškolskog odgoja, Sigurnosni i zaštitni program i protokol postupanja u kriznim situacijama, Kolektivni ugovor za zaposlene u ustanovama Grada Opatija, Etički kodeks Dječjeg vrtića Opatija, Obiteljski zakon, Zakon o hrani, Zakon o predškolskom odgoju i obrazovanju, Zakon o radu, Zakon o zaštiti podataka GDPR.</w:t>
      </w:r>
    </w:p>
    <w:p w14:paraId="51DB6521" w14:textId="77777777" w:rsidR="00AB0418" w:rsidRPr="00164A41" w:rsidRDefault="00AB0418" w:rsidP="00C2269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</w:pPr>
    </w:p>
    <w:p w14:paraId="68C39387" w14:textId="77777777" w:rsidR="000F3626" w:rsidRPr="00164A41" w:rsidRDefault="000F3626" w:rsidP="0039085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CILJEVI PROGRAMA SU:</w:t>
      </w:r>
    </w:p>
    <w:p w14:paraId="31FF9B81" w14:textId="77777777" w:rsidR="000F3626" w:rsidRPr="00303585" w:rsidRDefault="00202EC7" w:rsidP="0039085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585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303585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303585">
        <w:rPr>
          <w:rFonts w:ascii="Times New Roman" w:hAnsi="Times New Roman" w:cs="Times New Roman"/>
          <w:noProof/>
          <w:sz w:val="24"/>
          <w:szCs w:val="24"/>
          <w:lang w:eastAsia="hr-HR"/>
        </w:rPr>
        <w:t>osigurati maksimalni obuhvat djece u organiziranim programima vrtića i jaslica u skladu s važećom Odlukom o elementima standarda društvene brige o djeci predškolskog uzrasta iz 1983. godine i važećim Državnim pedagoškim standardima</w:t>
      </w:r>
    </w:p>
    <w:p w14:paraId="35FD6833" w14:textId="77777777" w:rsidR="000F3626" w:rsidRPr="00164A41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povećati kvalitetu provođenja odgojno-obrazovnog rada, programa njege, odgoja,</w:t>
      </w:r>
      <w:r w:rsidR="0056669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naobrazbe, zdravstvene zaštite, prehrane i socijalne skrbi djece</w:t>
      </w:r>
    </w:p>
    <w:p w14:paraId="5593392E" w14:textId="77777777" w:rsidR="000F3626" w:rsidRPr="00164A41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integracija (inkluzija) djece s posebnim potrebama u redovne programe, praćenje njihovih potreba te osiguravanje njihovog zadovoljavanja od strane odgojitelja, stručnog tima   </w:t>
      </w:r>
    </w:p>
    <w:p w14:paraId="0C056C96" w14:textId="77777777" w:rsidR="000F3626" w:rsidRPr="00164A41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t>-</w:t>
      </w:r>
      <w:r w:rsidR="00EF23E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skrbiti kvalitetno koncipiranim kurikulumom ranog odgoja za sva područja djetetova razvoja poštujući prirodu učenja djeteta</w:t>
      </w:r>
    </w:p>
    <w:p w14:paraId="472365EC" w14:textId="77777777" w:rsidR="000F3626" w:rsidRPr="00164A41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prepoznavanje i praćenje sve djece te zadovoljavanje njihovih interesa i potreba  </w:t>
      </w:r>
    </w:p>
    <w:p w14:paraId="3409E7C0" w14:textId="77777777" w:rsidR="000F3626" w:rsidRPr="00164A41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kontinuirano upućivanje odgojno – obrazovnih djelatnika na organizirane oblike stručnog usavršavanja s ciljem implementacije novih znanja u praksu</w:t>
      </w:r>
    </w:p>
    <w:p w14:paraId="7B0C827E" w14:textId="77777777" w:rsidR="000F3626" w:rsidRPr="00164A41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praćenje suradnje s drugim predškolskim ustanovama s ciljem unapređenja odgojno – obrazovnog rada</w:t>
      </w:r>
    </w:p>
    <w:p w14:paraId="29F7227F" w14:textId="77777777" w:rsidR="000F3626" w:rsidRPr="00164A41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uključivanje u provođenje međunarodnih projekata</w:t>
      </w:r>
    </w:p>
    <w:p w14:paraId="08F32C65" w14:textId="77777777" w:rsidR="008336E8" w:rsidRPr="00164A41" w:rsidRDefault="008336E8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4C9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unapređenje osnovnog programa posebnim programima koji se provode u posebnim skupinama</w:t>
      </w:r>
      <w:r w:rsidRPr="00164A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(strani jezici)       </w:t>
      </w:r>
    </w:p>
    <w:p w14:paraId="73FAD264" w14:textId="77777777" w:rsidR="008336E8" w:rsidRPr="00164A41" w:rsidRDefault="008336E8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4C9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unapređenje osnovnog programa kraćim specijaliziranim programima koje provode odgojitelji iz ustanove, ili se provode u suradnji s drugim ustanovama i/ili organizacijama civilnog sektora uz redovni program</w:t>
      </w:r>
    </w:p>
    <w:p w14:paraId="78662CE7" w14:textId="77777777" w:rsidR="008336E8" w:rsidRPr="00164A41" w:rsidRDefault="008336E8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4C9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većom ponudom sadržaja podizati kvalitetu senzornih iskustava djece </w:t>
      </w:r>
    </w:p>
    <w:p w14:paraId="02D58D63" w14:textId="77777777" w:rsidR="008336E8" w:rsidRPr="00164A41" w:rsidRDefault="008336E8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4C9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uključivanje većeg broja djece u posebne programe, osobito one koja nisu obuhvaćena osnovnim programom </w:t>
      </w:r>
    </w:p>
    <w:p w14:paraId="559DBEFE" w14:textId="77777777" w:rsidR="008336E8" w:rsidRPr="00164A41" w:rsidRDefault="008336E8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4C9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za predškolsku djecu koja nisu obuhvaćena redovnim programima organizirati provođenje programa predškole</w:t>
      </w:r>
    </w:p>
    <w:p w14:paraId="1FB500AD" w14:textId="77777777" w:rsidR="00A1151F" w:rsidRPr="00164A41" w:rsidRDefault="003C7133" w:rsidP="0039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</w:t>
      </w:r>
      <w:r w:rsidR="00736EF2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1151F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kapitalna ulaganja u objekte odnose se na radove na održavanju i uređenju objekata Vrtića</w:t>
      </w:r>
    </w:p>
    <w:p w14:paraId="7DE7B4A0" w14:textId="77777777" w:rsidR="00A1151F" w:rsidRPr="00164A41" w:rsidRDefault="003C7133" w:rsidP="0039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</w:t>
      </w:r>
      <w:r w:rsidR="00736EF2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1151F" w:rsidRPr="00164A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kapitalna ulaganja u opremu odnose se na nabavu opreme za unutarnje i vanjske prostore Vrtića</w:t>
      </w:r>
    </w:p>
    <w:p w14:paraId="3D095EC7" w14:textId="77777777" w:rsidR="00BA7563" w:rsidRPr="00164A41" w:rsidRDefault="00BA7563" w:rsidP="0039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B85CD7D" w14:textId="77777777" w:rsidR="00AB0418" w:rsidRPr="00164A41" w:rsidRDefault="00AB0418" w:rsidP="00A47C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164A41">
        <w:rPr>
          <w:rFonts w:ascii="Times New Roman" w:hAnsi="Times New Roman" w:cs="Times New Roman"/>
          <w:noProof/>
          <w:sz w:val="20"/>
          <w:szCs w:val="20"/>
          <w:lang w:eastAsia="hr-HR"/>
        </w:rPr>
        <w:fldChar w:fldCharType="begin"/>
      </w:r>
      <w:r w:rsidRPr="00164A41">
        <w:rPr>
          <w:rFonts w:ascii="Times New Roman" w:hAnsi="Times New Roman" w:cs="Times New Roman"/>
          <w:noProof/>
          <w:lang w:eastAsia="hr-HR"/>
        </w:rPr>
        <w:instrText xml:space="preserve"> LINK Excel.Sheet.12 "C:\\Users\\Silvija\\Desktop\\Financijski plan 2024\\Financijski plan 2024 - 2026 opći dio.xlsx" "SAŽETAK!R3C1:R14C10" \a \f 4 \h  \* MERGEFORMAT </w:instrText>
      </w:r>
      <w:r w:rsidRPr="00164A41">
        <w:rPr>
          <w:rFonts w:ascii="Times New Roman" w:hAnsi="Times New Roman" w:cs="Times New Roman"/>
          <w:noProof/>
          <w:sz w:val="20"/>
          <w:szCs w:val="20"/>
          <w:lang w:eastAsia="hr-HR"/>
        </w:rPr>
        <w:fldChar w:fldCharType="separate"/>
      </w:r>
    </w:p>
    <w:p w14:paraId="4728FC0B" w14:textId="77777777" w:rsidR="0043588F" w:rsidRPr="00164A41" w:rsidRDefault="00AB0418" w:rsidP="00271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fldChar w:fldCharType="end"/>
      </w:r>
      <w:r w:rsidR="00FA0BD0" w:rsidRPr="00164A41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IZVRŠENJE OPĆEG DIJELA FINANCIJSKOG PLANA ZA 2023. GODINU</w:t>
      </w:r>
    </w:p>
    <w:p w14:paraId="0A59FE5A" w14:textId="77777777" w:rsidR="00271D2B" w:rsidRPr="00164A41" w:rsidRDefault="00271D2B" w:rsidP="00271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397F79B2" w14:textId="77777777" w:rsidR="0087626E" w:rsidRPr="00164A41" w:rsidRDefault="0087626E" w:rsidP="00F76D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Ovo izvješće obuhvaća podatke o ost</w:t>
      </w:r>
      <w:r w:rsidR="000C165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v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arenim prihodima i primicima te rashodima</w:t>
      </w:r>
      <w:r w:rsidR="00CA532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izdacima </w:t>
      </w:r>
      <w:r w:rsidR="00757CB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Financijskog plana Dječjeg vrtića Opatija za razdoblje siječanj – prosinac 2023. godine u odnosu na Plan za 2023. godinu te izvršenje Financijskog plana za isto razdoblje prethodne godine (siječanj-prosinac 2022. godine).</w:t>
      </w:r>
    </w:p>
    <w:p w14:paraId="6A6C6193" w14:textId="77777777" w:rsidR="00271D2B" w:rsidRPr="00164A41" w:rsidRDefault="00271D2B" w:rsidP="00F76D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2023. godini ostvareni su ukupni prihodi i primici u iznosu od 2.774.629,23 eura što je 10,93% više nego u 2022. godini a 96,05% u odnosu na godišnji plan. Ukupni rashodi i izdaci ostvareni su u iznosu od 2.809.943,88 eura </w:t>
      </w:r>
      <w:r w:rsidR="00BA7B0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što je 11,86% više u nego u 2022. godini a 101,0</w:t>
      </w:r>
      <w:r w:rsidR="00CC253F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="00BA7B0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% u odnosu na godišnji plan.</w:t>
      </w:r>
    </w:p>
    <w:p w14:paraId="5AE84248" w14:textId="77777777" w:rsidR="00267F1D" w:rsidRPr="00164A41" w:rsidRDefault="008C33FE" w:rsidP="00F76D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Rezultat tekuće godine je manjak u iznosu od 35.314,65 eura. Prenesi</w:t>
      </w:r>
      <w:r w:rsidR="00F50F0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44F3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tehnički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manja</w:t>
      </w:r>
      <w:r w:rsidR="008F06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k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 2022. godine iznosi 108.170,56 eura </w:t>
      </w:r>
      <w:r w:rsidR="001F347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unutar kojeg </w:t>
      </w:r>
      <w:r w:rsidR="002E5FC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se 113.170,13 eura (sredstva Grada Opatije) odnosi na obračunate plaće i materijalne troškove</w:t>
      </w:r>
      <w:r w:rsidR="0065454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 prosinca </w:t>
      </w:r>
      <w:r w:rsidR="00A44F3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2022. godine koji su plaćeni u siječnju 2023. godine te 4.999,57 eura (vlastiti prihodi) odnosi se na donaciju za nabavu nefinancijske imovine koja je nabavljena i čija su sredstva </w:t>
      </w:r>
      <w:r w:rsidR="00672C7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utrošena</w:t>
      </w:r>
      <w:r w:rsidR="00A44F3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2023. godini.</w:t>
      </w:r>
      <w:r w:rsidR="002E5FC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67F1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Tehnički m</w:t>
      </w:r>
      <w:r w:rsidR="00A44F3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anjak iz 2022. godine </w:t>
      </w:r>
      <w:r w:rsidR="00267F1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iznosu od 108.170,56 eura </w:t>
      </w:r>
      <w:r w:rsidR="00A44F3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prenosi se u 2023. godinu te je raspoređen po izvorima financiranja – </w:t>
      </w:r>
      <w:r w:rsidR="00267F1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izvor Opći prihodi Grad (113.170,13 eur</w:t>
      </w:r>
      <w:r w:rsidR="00C243F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267F1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) i izvor donacije DV (4.999,57).</w:t>
      </w:r>
    </w:p>
    <w:p w14:paraId="1B43A3FE" w14:textId="77777777" w:rsidR="008C33FE" w:rsidRPr="00164A41" w:rsidRDefault="00267F1D" w:rsidP="00F76DA0">
      <w:pPr>
        <w:spacing w:after="0" w:line="240" w:lineRule="auto"/>
        <w:jc w:val="both"/>
        <w:rPr>
          <w:noProof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Prihodi za pokriće tehničkog manjka iz 2022. godine osigurani su u 2023. godini . Sukl</w:t>
      </w:r>
      <w:r w:rsidR="00313BD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dno Zakonu o </w:t>
      </w:r>
      <w:r w:rsidR="003D47B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proračunu </w:t>
      </w:r>
      <w:r w:rsidR="003175A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 ukupan rezultat poslovanja uključuju se i prenesena sredstva po rezultatu poslovanja iz 2022. godine (manjak u iznosu od 108.170,56 eura) pa je slijedom navedenog ukupan rezultat poslovanja u 2023. godini</w:t>
      </w:r>
      <w:r w:rsidR="00FB45A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175A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tehnički manja u iznosu od 143.485,21 eura a odnosi se na obračunate plaće i materijalne troškove iz prosinca 2023. godine koji će biti podmireni u siječnju 2024. godine</w:t>
      </w:r>
      <w:r w:rsidR="003175AA" w:rsidRPr="00164A41">
        <w:rPr>
          <w:noProof/>
          <w:lang w:eastAsia="hr-HR"/>
        </w:rPr>
        <w:t>.</w:t>
      </w:r>
    </w:p>
    <w:p w14:paraId="0CF706F7" w14:textId="77777777" w:rsidR="00941DE4" w:rsidRPr="00164A41" w:rsidRDefault="00941DE4" w:rsidP="00B65A68">
      <w:pPr>
        <w:rPr>
          <w:noProof/>
        </w:rPr>
      </w:pPr>
      <w:r w:rsidRPr="00164A41">
        <w:rPr>
          <w:noProof/>
          <w:lang w:eastAsia="hr-HR"/>
        </w:rPr>
        <w:fldChar w:fldCharType="begin"/>
      </w:r>
      <w:r w:rsidRPr="00164A41">
        <w:rPr>
          <w:noProof/>
          <w:lang w:eastAsia="hr-HR"/>
        </w:rPr>
        <w:instrText xml:space="preserve"> LINK </w:instrText>
      </w:r>
      <w:r w:rsidR="00E707B3" w:rsidRPr="00164A41">
        <w:rPr>
          <w:noProof/>
          <w:lang w:eastAsia="hr-HR"/>
        </w:rPr>
        <w:instrText xml:space="preserve">Excel.Sheet.12 "C:\\Users\\Silvija\\Desktop\\Tablice za izvršenje 2023.xlsx" Sheet1!R4C1:R23C10 </w:instrText>
      </w:r>
      <w:r w:rsidRPr="00164A41">
        <w:rPr>
          <w:noProof/>
          <w:lang w:eastAsia="hr-HR"/>
        </w:rPr>
        <w:instrText xml:space="preserve">\a \f 4 \h  \* MERGEFORMAT </w:instrText>
      </w:r>
      <w:r w:rsidRPr="00164A41">
        <w:rPr>
          <w:noProof/>
          <w:lang w:eastAsia="hr-HR"/>
        </w:rPr>
        <w:fldChar w:fldCharType="separate"/>
      </w:r>
    </w:p>
    <w:tbl>
      <w:tblPr>
        <w:tblW w:w="10194" w:type="dxa"/>
        <w:tblLayout w:type="fixed"/>
        <w:tblLook w:val="04A0" w:firstRow="1" w:lastRow="0" w:firstColumn="1" w:lastColumn="0" w:noHBand="0" w:noVBand="1"/>
      </w:tblPr>
      <w:tblGrid>
        <w:gridCol w:w="3904"/>
        <w:gridCol w:w="1336"/>
        <w:gridCol w:w="1418"/>
        <w:gridCol w:w="1275"/>
        <w:gridCol w:w="1134"/>
        <w:gridCol w:w="1127"/>
      </w:tblGrid>
      <w:tr w:rsidR="00941DE4" w:rsidRPr="00164A41" w14:paraId="0C8F19A0" w14:textId="77777777" w:rsidTr="00DD0EE6">
        <w:trPr>
          <w:trHeight w:val="288"/>
        </w:trPr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457" w14:textId="77777777" w:rsidR="00941DE4" w:rsidRPr="00164A41" w:rsidRDefault="00941DE4" w:rsidP="00B6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hr-HR"/>
              </w:rPr>
              <w:t> Račun/opis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99CD" w14:textId="77777777" w:rsidR="00941DE4" w:rsidRPr="00164A41" w:rsidRDefault="00941DE4" w:rsidP="00B6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2022.*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3266" w14:textId="77777777" w:rsidR="00941DE4" w:rsidRPr="00164A41" w:rsidRDefault="00941DE4" w:rsidP="00B6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6699" w14:textId="77777777" w:rsidR="00941DE4" w:rsidRPr="00164A41" w:rsidRDefault="00941DE4" w:rsidP="00B6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B282" w14:textId="77777777" w:rsidR="00941DE4" w:rsidRPr="00164A41" w:rsidRDefault="00941DE4" w:rsidP="00B6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DE2C" w14:textId="77777777" w:rsidR="00941DE4" w:rsidRPr="00164A41" w:rsidRDefault="00941DE4" w:rsidP="00B6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941DE4" w:rsidRPr="00164A41" w14:paraId="47FF74DE" w14:textId="77777777" w:rsidTr="00DD0EE6">
        <w:trPr>
          <w:trHeight w:val="528"/>
        </w:trPr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C838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hr-HR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F5EC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0F97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7D1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3D1A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2023/2022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CF8F" w14:textId="77777777" w:rsidR="00941DE4" w:rsidRPr="00164A41" w:rsidRDefault="00941DE4" w:rsidP="00B6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Izvršenje/Plan</w:t>
            </w:r>
          </w:p>
        </w:tc>
      </w:tr>
      <w:tr w:rsidR="00941DE4" w:rsidRPr="00164A41" w14:paraId="020E6A1E" w14:textId="77777777" w:rsidTr="00DD0EE6">
        <w:trPr>
          <w:trHeight w:val="288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335346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A. RAČUNA PRIHODA I RASHODA</w:t>
            </w:r>
          </w:p>
        </w:tc>
      </w:tr>
      <w:tr w:rsidR="00941DE4" w:rsidRPr="00164A41" w14:paraId="47A23D67" w14:textId="77777777" w:rsidTr="00DD0EE6">
        <w:trPr>
          <w:trHeight w:val="28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09B186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EC5D76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2.501.154,61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CA6B7C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2.888.446,00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8A31F1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2.774.629,23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AA9F60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110,93%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B101E3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96,05%</w:t>
            </w:r>
          </w:p>
        </w:tc>
      </w:tr>
      <w:tr w:rsidR="00941DE4" w:rsidRPr="00164A41" w14:paraId="2548C665" w14:textId="77777777" w:rsidTr="00DD0EE6">
        <w:trPr>
          <w:trHeight w:val="28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D63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80E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2.501.154,61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19CD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2.888.466,00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A9B5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2.774.629,23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7598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110,93%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3756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96,05%</w:t>
            </w:r>
          </w:p>
        </w:tc>
      </w:tr>
      <w:tr w:rsidR="00941DE4" w:rsidRPr="00164A41" w14:paraId="41E7C671" w14:textId="77777777" w:rsidTr="00DD0EE6">
        <w:trPr>
          <w:trHeight w:val="28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D699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977A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12BE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BA52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B794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6FCD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941DE4" w:rsidRPr="00164A41" w14:paraId="066C883A" w14:textId="77777777" w:rsidTr="00DD0EE6">
        <w:trPr>
          <w:trHeight w:val="28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B4B504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913DBB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2.511.834,99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FA22B3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2.780.276,00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11F8EE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2.809.943,88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879C60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111,86%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86E784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101,0</w:t>
            </w:r>
            <w:r w:rsidR="007A59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</w:t>
            </w: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941DE4" w:rsidRPr="00164A41" w14:paraId="66110A9E" w14:textId="77777777" w:rsidTr="00DD0EE6">
        <w:trPr>
          <w:trHeight w:val="28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14F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BBEE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2.482.482,26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7733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2.755.736,00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9BEB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2.776.399,08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6FA6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111,83%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EBA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100,76%</w:t>
            </w:r>
          </w:p>
        </w:tc>
      </w:tr>
      <w:tr w:rsidR="00941DE4" w:rsidRPr="00164A41" w14:paraId="1569CEC8" w14:textId="77777777" w:rsidTr="00DD0EE6">
        <w:trPr>
          <w:trHeight w:val="28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4051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3301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29.352,73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5D17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24.540,00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303F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33.544,80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A227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114,28%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DA9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136,69%</w:t>
            </w:r>
          </w:p>
        </w:tc>
      </w:tr>
      <w:tr w:rsidR="00941DE4" w:rsidRPr="00164A41" w14:paraId="3CEDB3A0" w14:textId="77777777" w:rsidTr="00DD0EE6">
        <w:trPr>
          <w:trHeight w:val="28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2E7D1D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lastRenderedPageBreak/>
              <w:t>RAZLIKA - VIŠAK / MANJAK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828CB0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10.680,38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5C1CE5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-108.170,56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CD58D5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-35.314,65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D59C7A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E0B787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41DE4" w:rsidRPr="00164A41" w14:paraId="4C65AD2A" w14:textId="77777777" w:rsidTr="00DD0EE6">
        <w:trPr>
          <w:trHeight w:val="312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C517" w14:textId="77777777" w:rsidR="00941DE4" w:rsidRPr="00164A41" w:rsidRDefault="00941DE4" w:rsidP="00B6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41DE4" w:rsidRPr="00164A41" w14:paraId="6A1BFF37" w14:textId="77777777" w:rsidTr="00DD0EE6">
        <w:trPr>
          <w:trHeight w:val="288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B10BBB" w14:textId="77777777" w:rsidR="00941DE4" w:rsidRPr="00164A41" w:rsidRDefault="00941DE4" w:rsidP="00B65A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hr-HR"/>
              </w:rPr>
              <w:t>B. RAČUN FINANCIRANJA</w:t>
            </w:r>
          </w:p>
        </w:tc>
      </w:tr>
      <w:tr w:rsidR="00941DE4" w:rsidRPr="00164A41" w14:paraId="367EE939" w14:textId="77777777" w:rsidTr="00DD0EE6">
        <w:trPr>
          <w:trHeight w:val="28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CB9A" w14:textId="77777777" w:rsidR="00941DE4" w:rsidRPr="00164A41" w:rsidRDefault="00941DE4" w:rsidP="00B65A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8 Primici od financijske imovine i zaduživanja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BEFE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ED44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1F1E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C4CD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C89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0,00 </w:t>
            </w:r>
          </w:p>
        </w:tc>
      </w:tr>
      <w:tr w:rsidR="00941DE4" w:rsidRPr="00164A41" w14:paraId="26CBEC61" w14:textId="77777777" w:rsidTr="00DD0EE6">
        <w:trPr>
          <w:trHeight w:val="57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74C" w14:textId="77777777" w:rsidR="00941DE4" w:rsidRPr="00164A41" w:rsidRDefault="00941DE4" w:rsidP="00B65A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5 Izdaci za financijsku imovinu i otplatu zajmova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D569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FF13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553" w14:textId="77777777" w:rsidR="00941DE4" w:rsidRPr="00164A41" w:rsidRDefault="00032412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941DE4"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10E0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0E2E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0,00 </w:t>
            </w:r>
          </w:p>
        </w:tc>
      </w:tr>
      <w:tr w:rsidR="00941DE4" w:rsidRPr="00164A41" w14:paraId="034DADAD" w14:textId="77777777" w:rsidTr="00DD0EE6">
        <w:trPr>
          <w:trHeight w:val="28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380DD7" w14:textId="77777777" w:rsidR="00941DE4" w:rsidRPr="00164A41" w:rsidRDefault="00941DE4" w:rsidP="00B65A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NETO FINANCIRANJE/ZADUŽIVANJE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77F1AF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7F94BA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79685B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A53B28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DB4E0B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941DE4" w:rsidRPr="00164A41" w14:paraId="3A0CBA81" w14:textId="77777777" w:rsidTr="00DD0EE6">
        <w:trPr>
          <w:trHeight w:val="300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89BB" w14:textId="77777777" w:rsidR="00941DE4" w:rsidRPr="00164A41" w:rsidRDefault="00941DE4" w:rsidP="00B6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41DE4" w:rsidRPr="00164A41" w14:paraId="7C5886EC" w14:textId="77777777" w:rsidTr="00DD0EE6">
        <w:trPr>
          <w:trHeight w:val="288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5BC31A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C. PRENESENI VIŠAK ILI PRENESENI MANJAK </w:t>
            </w:r>
          </w:p>
        </w:tc>
      </w:tr>
      <w:tr w:rsidR="00941DE4" w:rsidRPr="00164A41" w14:paraId="6C8EA96E" w14:textId="77777777" w:rsidTr="00DD0EE6">
        <w:trPr>
          <w:trHeight w:val="52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CFAB3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PRIJENOS VIŠKA / MANJKA IZ PRETHODNE(IH) GODINE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AA5AF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-97.490,18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62D968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-108.170,56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B326A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-108.170,56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09D8DC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14D49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41DE4" w:rsidRPr="00164A41" w14:paraId="4D5E40C8" w14:textId="77777777" w:rsidTr="00DD0EE6">
        <w:trPr>
          <w:trHeight w:val="52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06DED7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9FBDEF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-108.170,56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46863D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98BB48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-143.485,21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55B349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CBFAB9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41DE4" w:rsidRPr="00164A41" w14:paraId="5C3A3C9B" w14:textId="77777777" w:rsidTr="00DD0EE6">
        <w:trPr>
          <w:trHeight w:val="142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E80DA0" w14:textId="77777777" w:rsidR="00941DE4" w:rsidRPr="00164A41" w:rsidRDefault="00941DE4" w:rsidP="00B6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5F8C36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92F2B2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7572E8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C5D266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255BA9" w14:textId="77777777" w:rsidR="00941DE4" w:rsidRPr="00164A41" w:rsidRDefault="00941DE4" w:rsidP="00B6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4133FAD3" w14:textId="77777777" w:rsidR="002C2890" w:rsidRPr="00164A41" w:rsidRDefault="00941DE4" w:rsidP="002C2890">
      <w:pPr>
        <w:rPr>
          <w:noProof/>
          <w:lang w:eastAsia="hr-HR"/>
        </w:rPr>
      </w:pPr>
      <w:r w:rsidRPr="00164A41">
        <w:rPr>
          <w:noProof/>
          <w:lang w:eastAsia="hr-HR"/>
        </w:rPr>
        <w:fldChar w:fldCharType="end"/>
      </w:r>
    </w:p>
    <w:p w14:paraId="022A3571" w14:textId="77777777" w:rsidR="0011224C" w:rsidRPr="00164A41" w:rsidRDefault="0011224C" w:rsidP="002C2890">
      <w:pPr>
        <w:rPr>
          <w:rFonts w:ascii="Times New Roman" w:hAnsi="Times New Roman" w:cs="Times New Roman"/>
          <w:b/>
          <w:noProof/>
          <w:lang w:eastAsia="hr-HR"/>
        </w:rPr>
      </w:pPr>
    </w:p>
    <w:p w14:paraId="2850D9CA" w14:textId="77777777" w:rsidR="0011224C" w:rsidRPr="00164A41" w:rsidRDefault="0011224C" w:rsidP="001122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PRIHODI POSLOVANJA</w:t>
      </w:r>
    </w:p>
    <w:p w14:paraId="40BFD488" w14:textId="77777777" w:rsidR="008B24D8" w:rsidRPr="00164A41" w:rsidRDefault="008B24D8" w:rsidP="001122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A492E17" w14:textId="77777777" w:rsidR="00182D97" w:rsidRPr="00164A41" w:rsidRDefault="00F26B88" w:rsidP="00182D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Ukupni p</w:t>
      </w:r>
      <w:r w:rsidR="00182D9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rihodi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primici</w:t>
      </w:r>
      <w:r w:rsidR="00182D9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poslovanja </w:t>
      </w:r>
      <w:r w:rsidR="00455DA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Dječjeg vrtića Opatija ostvareni su </w:t>
      </w:r>
      <w:r w:rsidR="004639B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iznosu od 2.774.629,23 eura odnosno </w:t>
      </w:r>
      <w:r w:rsidR="00455DA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96,05% </w:t>
      </w:r>
      <w:r w:rsidR="00182D9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odnosu na </w:t>
      </w:r>
      <w:r w:rsidR="00B1792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godišnji </w:t>
      </w:r>
      <w:r w:rsidR="00182D9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plan</w:t>
      </w:r>
      <w:r w:rsidR="002962F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2023. godinu</w:t>
      </w:r>
      <w:r w:rsidR="00455DA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182D9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dok su u </w:t>
      </w:r>
      <w:r w:rsidR="00B1792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182D9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dnosu na isto razdoblje 2022. godine veći za 10,93% odnosno za 273.474,62 eura. </w:t>
      </w:r>
    </w:p>
    <w:p w14:paraId="0479E32E" w14:textId="77777777" w:rsidR="0011224C" w:rsidRPr="00164A41" w:rsidRDefault="0011224C" w:rsidP="000536D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530CFF60" w14:textId="77777777" w:rsidR="000536DF" w:rsidRPr="00164A41" w:rsidRDefault="000536DF" w:rsidP="000536D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34ADF166" w14:textId="77777777" w:rsidR="00AD69D2" w:rsidRPr="00164A41" w:rsidRDefault="0011224C" w:rsidP="001122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PRIHODI POSLOVANJA PREMA EKONOMSKOJ KVALIFIKACIJI</w:t>
      </w:r>
    </w:p>
    <w:p w14:paraId="1012A2A2" w14:textId="77777777" w:rsidR="00FE7811" w:rsidRPr="00164A41" w:rsidRDefault="00FE7811" w:rsidP="00FE781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35F5ECC1" w14:textId="77777777" w:rsidR="00FE7811" w:rsidRPr="00164A41" w:rsidRDefault="00360D68" w:rsidP="00FE78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Prihodi poslovanja prema ekonomskoj kvalifikaciji ostvareni su kako slijedi:</w:t>
      </w:r>
      <w:r w:rsidR="00FE781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36888207" w14:textId="77777777" w:rsidR="006A40D4" w:rsidRPr="00164A41" w:rsidRDefault="006A40D4" w:rsidP="00977BE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tbl>
      <w:tblPr>
        <w:tblW w:w="101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41"/>
        <w:gridCol w:w="987"/>
        <w:gridCol w:w="2183"/>
        <w:gridCol w:w="1276"/>
        <w:gridCol w:w="1276"/>
        <w:gridCol w:w="1275"/>
        <w:gridCol w:w="1134"/>
        <w:gridCol w:w="1122"/>
      </w:tblGrid>
      <w:tr w:rsidR="00307692" w:rsidRPr="00164A41" w14:paraId="6046754A" w14:textId="77777777" w:rsidTr="00307692">
        <w:trPr>
          <w:trHeight w:val="804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F11F2F" w14:textId="77777777" w:rsidR="00307692" w:rsidRPr="00164A41" w:rsidRDefault="00307692" w:rsidP="003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462358" w14:textId="77777777" w:rsidR="00307692" w:rsidRPr="00164A41" w:rsidRDefault="00307692" w:rsidP="003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C6B592" w14:textId="77777777" w:rsidR="00307692" w:rsidRPr="00164A41" w:rsidRDefault="00307692" w:rsidP="003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306A45" w14:textId="77777777" w:rsidR="00307692" w:rsidRPr="00164A41" w:rsidRDefault="00307692" w:rsidP="003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69B6CE" w14:textId="77777777" w:rsidR="00307692" w:rsidRPr="00164A41" w:rsidRDefault="00307692" w:rsidP="003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96B93A" w14:textId="77777777" w:rsidR="00307692" w:rsidRPr="00164A41" w:rsidRDefault="00307692" w:rsidP="003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4CCF58" w14:textId="77777777" w:rsidR="00307692" w:rsidRPr="00164A41" w:rsidRDefault="00307692" w:rsidP="003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 2023/2022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BB44AD" w14:textId="77777777" w:rsidR="00307692" w:rsidRPr="00164A41" w:rsidRDefault="00307692" w:rsidP="003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 Izvršenje/Plan</w:t>
            </w:r>
          </w:p>
        </w:tc>
      </w:tr>
      <w:tr w:rsidR="00307692" w:rsidRPr="00164A41" w14:paraId="5B65A446" w14:textId="77777777" w:rsidTr="00307692">
        <w:trPr>
          <w:trHeight w:val="60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8CED" w14:textId="77777777" w:rsidR="00307692" w:rsidRPr="00164A41" w:rsidRDefault="00307692" w:rsidP="003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8EE" w14:textId="77777777" w:rsidR="00307692" w:rsidRPr="00164A41" w:rsidRDefault="00307692" w:rsidP="003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9270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B5D1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2.501.154,61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F8AD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2.888.446,00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F850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2.774.629,23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BEB74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110,93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4AB8B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96,05</w:t>
            </w:r>
          </w:p>
        </w:tc>
      </w:tr>
      <w:tr w:rsidR="00307692" w:rsidRPr="00164A41" w14:paraId="776EF324" w14:textId="77777777" w:rsidTr="00307692">
        <w:trPr>
          <w:trHeight w:val="492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BF4C8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A9751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BBF2A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185B2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2.501.154,61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2FCE5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2.888.446,00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CA101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2.774.629,23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9659B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110,93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B8E4C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96,05</w:t>
            </w:r>
          </w:p>
        </w:tc>
      </w:tr>
      <w:tr w:rsidR="00307692" w:rsidRPr="00164A41" w14:paraId="4B05F19A" w14:textId="77777777" w:rsidTr="00307692">
        <w:trPr>
          <w:trHeight w:val="852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29DE4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030BC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A6E58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7FBD7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499.489,02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520B9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581.333,00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54D32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585.278,53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F57E5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117,17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BD924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100,67</w:t>
            </w:r>
          </w:p>
        </w:tc>
      </w:tr>
      <w:tr w:rsidR="00307692" w:rsidRPr="00164A41" w14:paraId="514D2E93" w14:textId="77777777" w:rsidTr="00307692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26B46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A3D76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4BA53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CCF8D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34669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12374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9F5FA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10,94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E53B0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07692" w:rsidRPr="00164A41" w14:paraId="05E89753" w14:textId="77777777" w:rsidTr="00307692">
        <w:trPr>
          <w:trHeight w:val="1164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09A9E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85160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6AFA2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CB8EF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324.443,08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F95EB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291.147,00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74432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326.074,59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FF440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100,50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A1D08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111,99</w:t>
            </w:r>
          </w:p>
        </w:tc>
      </w:tr>
      <w:tr w:rsidR="00307692" w:rsidRPr="00164A41" w14:paraId="6015A0EB" w14:textId="77777777" w:rsidTr="00307692">
        <w:trPr>
          <w:trHeight w:val="87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1EF58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7D28B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4F497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Prihodi od prodaje proizvoda i robe te pruženih usluga, prihodi od donacija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81362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47.705,22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C57DD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45.457,00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39B24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54.837,71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39676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114,95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FF34E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120,63</w:t>
            </w:r>
          </w:p>
        </w:tc>
      </w:tr>
      <w:tr w:rsidR="00307692" w:rsidRPr="00164A41" w14:paraId="4259A4DA" w14:textId="77777777" w:rsidTr="00307692">
        <w:trPr>
          <w:trHeight w:val="924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B504E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4A09E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2B6E5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F65CE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1.629.207,15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157FE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1.970.509,00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9820B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1.808.053,57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EA082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110,97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08421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91,75</w:t>
            </w:r>
          </w:p>
        </w:tc>
      </w:tr>
      <w:tr w:rsidR="00307692" w:rsidRPr="00164A41" w14:paraId="41DB540B" w14:textId="77777777" w:rsidTr="00307692">
        <w:trPr>
          <w:trHeight w:val="648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62840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2C5B0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6D1BF" w14:textId="77777777" w:rsidR="00307692" w:rsidRPr="00164A41" w:rsidRDefault="00307692" w:rsidP="003076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959F0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139,14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C25F4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8CC59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366,11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4297B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263,12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82188" w14:textId="77777777" w:rsidR="00307692" w:rsidRPr="00164A41" w:rsidRDefault="00307692" w:rsidP="00307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16340ABB" w14:textId="77777777" w:rsidR="00352BB2" w:rsidRPr="00164A41" w:rsidRDefault="00352BB2" w:rsidP="00042C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658C6E84" w14:textId="77777777" w:rsidR="00567ADF" w:rsidRPr="00164A41" w:rsidRDefault="00567ADF" w:rsidP="00042CB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63. Prihodi 6361 -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</w:t>
      </w:r>
      <w:r w:rsidR="00FA653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se na Tekuće pomoći proračunskim korisnicima iz proračuna</w:t>
      </w:r>
      <w:r w:rsidR="00C265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koji im nije nadležan</w:t>
      </w:r>
      <w:r w:rsidR="00C265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(Općina Lovran, Ministarstvo znanosti i obrazovanja, Općina Matulji)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150DC1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ostvareni su u iznosu od </w:t>
      </w:r>
      <w:r w:rsidR="00360D68" w:rsidRPr="00164A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585.278,53</w:t>
      </w:r>
      <w:r w:rsidR="00BD48FB" w:rsidRPr="00164A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eura što predstavlja 100,67% godišnjeg plana</w:t>
      </w:r>
      <w:r w:rsidR="0050055C" w:rsidRPr="00164A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a u odnosu na</w:t>
      </w:r>
      <w:r w:rsidR="00FE3A22" w:rsidRPr="00164A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isto</w:t>
      </w:r>
      <w:r w:rsidR="0050055C" w:rsidRPr="00164A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razdoblje prethodne godine veće je za 10,93% zbog većeg udjela Općine Lovran u sufinanciranju.</w:t>
      </w:r>
    </w:p>
    <w:p w14:paraId="57789BD6" w14:textId="77777777" w:rsidR="005D0F40" w:rsidRPr="00164A41" w:rsidRDefault="005D0F40" w:rsidP="00042C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8FF516F" w14:textId="77777777" w:rsidR="005D0F40" w:rsidRPr="00164A41" w:rsidRDefault="005D0F40" w:rsidP="00042C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64. Prihodi 6413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– odnos</w:t>
      </w:r>
      <w:r w:rsidR="00FA653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se na Kamate na oročena sredstva i depozite po viđenju</w:t>
      </w:r>
      <w:r w:rsidR="00FA653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(pripis pasivne kamate) </w:t>
      </w:r>
      <w:r w:rsidR="00150DC1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="00FA653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ostvareni su u iznosu od 18,72 eura a </w:t>
      </w:r>
      <w:r w:rsidR="00BB5DBB">
        <w:rPr>
          <w:rFonts w:ascii="Times New Roman" w:hAnsi="Times New Roman" w:cs="Times New Roman"/>
          <w:noProof/>
          <w:sz w:val="24"/>
          <w:szCs w:val="24"/>
          <w:lang w:eastAsia="hr-HR"/>
        </w:rPr>
        <w:t>u</w:t>
      </w:r>
      <w:r w:rsidR="00FA653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BB5DBB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FA653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donosu na </w:t>
      </w:r>
      <w:r w:rsidR="00DF205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isto </w:t>
      </w:r>
      <w:r w:rsidR="00FA653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razdoblje prethodne godine manji su za 89,06%.</w:t>
      </w:r>
    </w:p>
    <w:p w14:paraId="05E3F05C" w14:textId="77777777" w:rsidR="005923B4" w:rsidRPr="00164A41" w:rsidRDefault="005923B4" w:rsidP="00042C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1488B584" w14:textId="77777777" w:rsidR="005923B4" w:rsidRPr="00164A41" w:rsidRDefault="005923B4" w:rsidP="00042C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65. Prihodi 6526 –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odnose se na Ostale nespomenute prihode </w:t>
      </w:r>
      <w:r w:rsidR="00ED31E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(prihodi od roditelja) </w:t>
      </w:r>
      <w:r w:rsidR="00150DC1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ostvareni su u iznosu od 326.074,59 eura što predstavlja 111,99% godišnjeg plana a u odnosu na </w:t>
      </w:r>
      <w:r w:rsidR="00DE694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isto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razdoblje prethodne godine veći su za 0,50%. </w:t>
      </w:r>
      <w:r w:rsidR="00DF7BC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Veće ostvarenje prihoda u 2023. godini u odnosu na plan</w:t>
      </w:r>
      <w:r w:rsidR="000F6C5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odnosi se na bolju naplatu potraživanja od roditelja te manje od</w:t>
      </w:r>
      <w:r w:rsidR="002C0CA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="000F6C5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utnosti djece (umanjenje cijene za bolovanja i godišnji </w:t>
      </w:r>
      <w:r w:rsidR="002C0CA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od</w:t>
      </w:r>
      <w:r w:rsidR="000F6C5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mor).</w:t>
      </w:r>
    </w:p>
    <w:p w14:paraId="5BA8565A" w14:textId="77777777" w:rsidR="001956AF" w:rsidRPr="00164A41" w:rsidRDefault="001956AF" w:rsidP="00042C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6405ACE2" w14:textId="77777777" w:rsidR="001956AF" w:rsidRPr="00164A41" w:rsidRDefault="00ED31EA" w:rsidP="00042C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66. Prihodi 6615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– odnose se na Prihode od pruženih usluga</w:t>
      </w:r>
      <w:r w:rsidR="00C265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(priprema i prijevoz obroka)</w:t>
      </w:r>
      <w:r w:rsidR="008956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89560F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Prihod 6631 i 6632 –</w:t>
      </w:r>
      <w:r w:rsidR="008956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odnose se na tekuće i kapitalne donacije</w:t>
      </w:r>
      <w:r w:rsidR="003E68A1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C265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624C29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C265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ostvareni su u</w:t>
      </w:r>
      <w:r w:rsidR="008956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ukupnom</w:t>
      </w:r>
      <w:r w:rsidR="00C265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iznosu od </w:t>
      </w:r>
      <w:r w:rsidR="008956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54.837,71 eura</w:t>
      </w:r>
      <w:r w:rsidR="00C265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8956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što predstavlja 1</w:t>
      </w:r>
      <w:r w:rsidR="005F7F9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20,63</w:t>
      </w:r>
      <w:r w:rsidR="008956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godišnjeg plana a u odnosu na </w:t>
      </w:r>
      <w:r w:rsidR="00A73A8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isto </w:t>
      </w:r>
      <w:r w:rsidR="005F7F9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razdoblje prethodne godine</w:t>
      </w:r>
      <w:r w:rsidR="008956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veći su za </w:t>
      </w:r>
      <w:r w:rsidR="005F7F9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14,95%.</w:t>
      </w:r>
      <w:r w:rsidR="0064780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Veće ost</w:t>
      </w:r>
      <w:r w:rsidR="00BF5E7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v</w:t>
      </w:r>
      <w:r w:rsidR="0064780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arenje prihoda u 2023. godini u odnosu na plan i u odnosu na razdoblje prethodne godine je zbog većih prihoda od pruženih usluga (veći broj pripreme i prijevoza obroka).</w:t>
      </w:r>
    </w:p>
    <w:p w14:paraId="48C65369" w14:textId="77777777" w:rsidR="00FA56EB" w:rsidRPr="00164A41" w:rsidRDefault="00FA56EB" w:rsidP="00042C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7B7ABFE7" w14:textId="77777777" w:rsidR="00FA56EB" w:rsidRPr="00164A41" w:rsidRDefault="00FA56EB" w:rsidP="00042C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67. Prihodi 671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 Prihodi iz nadležnog proračuna za financiranje redovne djelatnosti proračunsk</w:t>
      </w:r>
      <w:r w:rsidR="00D8504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og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korisnika </w:t>
      </w:r>
      <w:r w:rsidR="00C054F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DV Opatija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(za financiranje rashoda poslovanja i za financiranje rashoda za nabavu nefinancijske imovine)</w:t>
      </w:r>
      <w:r w:rsidR="0031586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86275B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="0031586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ostvareni su u iznosu od 1.808.053,57 eura što predstavlja 91,75% godišnjeg plana a u odnosu na </w:t>
      </w:r>
      <w:r w:rsidR="00D14E4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isto </w:t>
      </w:r>
      <w:r w:rsidR="0031586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razdoblje prethodne godine veći su za 10,97% zbog povećanja rashoda redovne djelatnosti proračunskog korisnika.</w:t>
      </w:r>
      <w:r w:rsidR="00C054F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Prihodi za financiranje </w:t>
      </w:r>
      <w:r w:rsidR="0040286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rashoda poslovanja</w:t>
      </w:r>
      <w:r w:rsidR="00EB0CE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2023. godini ostvareni su 91,75% u </w:t>
      </w:r>
      <w:r w:rsidR="00FE475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EB0CE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dnosu na plan a zbog manjih materijalnih troškova, viška</w:t>
      </w:r>
      <w:r w:rsidR="00E438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ostvarenih</w:t>
      </w:r>
      <w:r w:rsidR="00EB0CE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prihoda 6526 i zbog plaća i materijalnih troškova</w:t>
      </w:r>
      <w:r w:rsidR="005E382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EB0CE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za prosinac 2023. koji su podmireni u siječnju 2024. godine.</w:t>
      </w:r>
    </w:p>
    <w:p w14:paraId="2F20FC2D" w14:textId="77777777" w:rsidR="000B0A2B" w:rsidRPr="00164A41" w:rsidRDefault="000B0A2B" w:rsidP="00AD69D2">
      <w:pPr>
        <w:spacing w:after="0" w:line="240" w:lineRule="auto"/>
        <w:rPr>
          <w:noProof/>
          <w:lang w:eastAsia="hr-HR"/>
        </w:rPr>
      </w:pPr>
    </w:p>
    <w:p w14:paraId="1F771C8C" w14:textId="77777777" w:rsidR="000B0A2B" w:rsidRPr="00164A41" w:rsidRDefault="000B0A2B" w:rsidP="00AD69D2">
      <w:pPr>
        <w:spacing w:after="0" w:line="240" w:lineRule="auto"/>
        <w:rPr>
          <w:noProof/>
          <w:lang w:eastAsia="hr-HR"/>
        </w:rPr>
      </w:pPr>
    </w:p>
    <w:p w14:paraId="378EE44D" w14:textId="77777777" w:rsidR="000B0A2B" w:rsidRPr="00164A41" w:rsidRDefault="00CA0230" w:rsidP="00CA023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t>PRIHODI POSLOVANJA PREMA IZVORIMA FINANCIRANJA</w:t>
      </w:r>
    </w:p>
    <w:p w14:paraId="7FD935B6" w14:textId="77777777" w:rsidR="00CA0230" w:rsidRPr="00164A41" w:rsidRDefault="00CA0230" w:rsidP="00CA023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AEE7BDB" w14:textId="77777777" w:rsidR="00560FFD" w:rsidRPr="00164A41" w:rsidRDefault="00560FFD" w:rsidP="00CA023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Prihodi poslovanja prema izvorima financiranja ostvareni su kako slijedi:</w:t>
      </w:r>
    </w:p>
    <w:p w14:paraId="3A125A66" w14:textId="77777777" w:rsidR="00E4078A" w:rsidRPr="00164A41" w:rsidRDefault="00E4078A" w:rsidP="00CA0230">
      <w:pPr>
        <w:spacing w:after="0" w:line="240" w:lineRule="auto"/>
        <w:rPr>
          <w:noProof/>
        </w:rPr>
      </w:pPr>
      <w:r w:rsidRPr="00164A41">
        <w:rPr>
          <w:noProof/>
          <w:lang w:eastAsia="hr-HR"/>
        </w:rPr>
        <w:fldChar w:fldCharType="begin"/>
      </w:r>
      <w:r w:rsidRPr="00164A41">
        <w:rPr>
          <w:noProof/>
          <w:lang w:eastAsia="hr-HR"/>
        </w:rPr>
        <w:instrText xml:space="preserve"> LINK </w:instrText>
      </w:r>
      <w:r w:rsidR="00E707B3" w:rsidRPr="00164A41">
        <w:rPr>
          <w:noProof/>
          <w:lang w:eastAsia="hr-HR"/>
        </w:rPr>
        <w:instrText xml:space="preserve">Excel.Sheet.12 "C:\\Users\\Silvija\\Desktop\\Tablice prihodi i rashodi za izvršenje 2023.xlsx" Sheet3!R4C1:R17C6 </w:instrText>
      </w:r>
      <w:r w:rsidRPr="00164A41">
        <w:rPr>
          <w:noProof/>
          <w:lang w:eastAsia="hr-HR"/>
        </w:rPr>
        <w:instrText xml:space="preserve">\a \f 4 \h  \* MERGEFORMAT </w:instrText>
      </w:r>
      <w:r w:rsidRPr="00164A41">
        <w:rPr>
          <w:noProof/>
          <w:lang w:eastAsia="hr-HR"/>
        </w:rPr>
        <w:fldChar w:fldCharType="separate"/>
      </w:r>
    </w:p>
    <w:tbl>
      <w:tblPr>
        <w:tblW w:w="10211" w:type="dxa"/>
        <w:tblLook w:val="04A0" w:firstRow="1" w:lastRow="0" w:firstColumn="1" w:lastColumn="0" w:noHBand="0" w:noVBand="1"/>
      </w:tblPr>
      <w:tblGrid>
        <w:gridCol w:w="2674"/>
        <w:gridCol w:w="1596"/>
        <w:gridCol w:w="1596"/>
        <w:gridCol w:w="1596"/>
        <w:gridCol w:w="1186"/>
        <w:gridCol w:w="1563"/>
      </w:tblGrid>
      <w:tr w:rsidR="00E4078A" w:rsidRPr="00164A41" w14:paraId="5A443958" w14:textId="77777777" w:rsidTr="00E4078A">
        <w:trPr>
          <w:trHeight w:val="291"/>
        </w:trPr>
        <w:tc>
          <w:tcPr>
            <w:tcW w:w="2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22CCB9" w14:textId="77777777" w:rsidR="00E4078A" w:rsidRPr="00164A41" w:rsidRDefault="00E4078A" w:rsidP="00A47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14D4F5" w14:textId="77777777" w:rsidR="00E4078A" w:rsidRPr="00164A41" w:rsidRDefault="00E4078A" w:rsidP="00E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3AAFAC" w14:textId="77777777" w:rsidR="00E4078A" w:rsidRPr="00164A41" w:rsidRDefault="00E4078A" w:rsidP="00E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7205EA" w14:textId="77777777" w:rsidR="00E4078A" w:rsidRPr="00164A41" w:rsidRDefault="00E4078A" w:rsidP="00E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59D732" w14:textId="77777777" w:rsidR="00E4078A" w:rsidRPr="00164A41" w:rsidRDefault="00E4078A" w:rsidP="00E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A1764C" w14:textId="77777777" w:rsidR="00E4078A" w:rsidRPr="00164A41" w:rsidRDefault="00E4078A" w:rsidP="00E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E4078A" w:rsidRPr="00164A41" w14:paraId="5E16EF77" w14:textId="77777777" w:rsidTr="00E4078A">
        <w:trPr>
          <w:trHeight w:val="546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8C900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3CB49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A7188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24939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5FC8E1" w14:textId="77777777" w:rsidR="00E4078A" w:rsidRPr="00164A41" w:rsidRDefault="00E4078A" w:rsidP="00E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2023/2022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AA29EB" w14:textId="77777777" w:rsidR="00E4078A" w:rsidRPr="00164A41" w:rsidRDefault="00E4078A" w:rsidP="00E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Izvršenje/Plan</w:t>
            </w:r>
          </w:p>
        </w:tc>
      </w:tr>
      <w:tr w:rsidR="00E4078A" w:rsidRPr="00164A41" w14:paraId="054A3ED6" w14:textId="77777777" w:rsidTr="00E4078A">
        <w:trPr>
          <w:trHeight w:val="437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D92EE" w14:textId="77777777" w:rsidR="00E4078A" w:rsidRPr="00164A41" w:rsidRDefault="00E4078A" w:rsidP="00A47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811D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2.501.154,61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0867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2.888.446,00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5393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2.774.629,23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076A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110,93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659E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96,05</w:t>
            </w:r>
          </w:p>
        </w:tc>
      </w:tr>
      <w:tr w:rsidR="00E4078A" w:rsidRPr="00164A41" w14:paraId="614ACE62" w14:textId="77777777" w:rsidTr="00E4078A">
        <w:trPr>
          <w:trHeight w:val="303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594274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2425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1.629.207,15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8EA3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1.935.823,00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CBF8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1.771.432,57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D13E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108,72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23F2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91,50</w:t>
            </w:r>
          </w:p>
        </w:tc>
      </w:tr>
      <w:tr w:rsidR="00E4078A" w:rsidRPr="00164A41" w14:paraId="4BC001F6" w14:textId="77777777" w:rsidTr="00E4078A">
        <w:trPr>
          <w:trHeight w:val="303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DDC6CC8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5ECB4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1.485.171,08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68A23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1.822.653,00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E24E7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1.658.262,44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A70A2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111,65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FDD77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</w:t>
            </w:r>
            <w:r w:rsidR="00651FA0"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0,98</w:t>
            </w:r>
          </w:p>
        </w:tc>
      </w:tr>
      <w:tr w:rsidR="00E4078A" w:rsidRPr="00164A41" w14:paraId="6866FEE3" w14:textId="77777777" w:rsidTr="00E4078A">
        <w:trPr>
          <w:trHeight w:val="303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0180B38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911 Opći prihodi-prijenos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31672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144.036,07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0E89C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113.170,00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8704D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113.170,13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92CB1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4394D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4078A" w:rsidRPr="00164A41" w14:paraId="52837D96" w14:textId="77777777" w:rsidTr="00E4078A">
        <w:trPr>
          <w:trHeight w:val="303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4D38F9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 Vlastiti prihodi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F964D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40.026,31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5ECC0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43.814,00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8676D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47.517,28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4AD18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118,71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14C28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108,45</w:t>
            </w:r>
          </w:p>
        </w:tc>
      </w:tr>
      <w:tr w:rsidR="00E4078A" w:rsidRPr="00164A41" w14:paraId="26AA1FBE" w14:textId="77777777" w:rsidTr="00E4078A">
        <w:trPr>
          <w:trHeight w:val="303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75C247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31 Vlastiti prihodi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AEF04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40.026,31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04266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43.814,00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003A5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47.517,28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89A72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118,71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9E885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108,45</w:t>
            </w:r>
          </w:p>
        </w:tc>
      </w:tr>
      <w:tr w:rsidR="00E4078A" w:rsidRPr="00164A41" w14:paraId="799C58B1" w14:textId="77777777" w:rsidTr="00E4078A">
        <w:trPr>
          <w:trHeight w:val="546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90854D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 Prihodi za posebne namjene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6CD8A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324.443,08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7F68E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291.147,00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A941B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326.074,59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0A694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100,50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33C47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111,99</w:t>
            </w:r>
          </w:p>
        </w:tc>
      </w:tr>
      <w:tr w:rsidR="00E4078A" w:rsidRPr="00164A41" w14:paraId="4EA69B9F" w14:textId="77777777" w:rsidTr="00E4078A">
        <w:trPr>
          <w:trHeight w:val="571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037A87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  <w:t xml:space="preserve">  43 Ostali prihodi za posebne namjene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0938A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324.443,08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8F0C5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291.147,00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99507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326.074,59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6F0E8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100,50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4B312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111,99</w:t>
            </w:r>
          </w:p>
        </w:tc>
      </w:tr>
      <w:tr w:rsidR="00E4078A" w:rsidRPr="00164A41" w14:paraId="1D97EACC" w14:textId="77777777" w:rsidTr="00E4078A">
        <w:trPr>
          <w:trHeight w:val="303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CF3AF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lastRenderedPageBreak/>
              <w:t>5 Pomoći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D6102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499.489,02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F5ACC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616.019,00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B327A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621.899,53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C6196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124,50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8AD94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100,95</w:t>
            </w:r>
          </w:p>
        </w:tc>
      </w:tr>
      <w:tr w:rsidR="00E4078A" w:rsidRPr="00164A41" w14:paraId="219E0CD2" w14:textId="77777777" w:rsidTr="00E4078A">
        <w:trPr>
          <w:trHeight w:val="303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8175A77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  <w:t xml:space="preserve">  52 Ostale pomoći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67692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499.489,02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FBC19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616.019,00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FC4A0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621.899,53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71B25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124,50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93F4B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100,95</w:t>
            </w:r>
          </w:p>
        </w:tc>
      </w:tr>
      <w:tr w:rsidR="00E4078A" w:rsidRPr="00164A41" w14:paraId="3A6159FD" w14:textId="77777777" w:rsidTr="00E4078A">
        <w:trPr>
          <w:trHeight w:val="303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E8F55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 Donacije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D8ED1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7.989,05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CA0B9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1.643,00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EA6E8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7.705,26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5F9FB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96,44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3FB01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468,97</w:t>
            </w:r>
          </w:p>
        </w:tc>
      </w:tr>
      <w:tr w:rsidR="00E4078A" w:rsidRPr="00164A41" w14:paraId="719A4C12" w14:textId="77777777" w:rsidTr="00E4078A">
        <w:trPr>
          <w:trHeight w:val="303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3C605DE" w14:textId="77777777" w:rsidR="00E4078A" w:rsidRPr="00164A41" w:rsidRDefault="00E4078A" w:rsidP="00E4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  <w:t xml:space="preserve">  61 Ostale donacije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BF004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7.989,05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37F2C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1.643,00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2C442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7.705,26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FC277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96,44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40254" w14:textId="77777777" w:rsidR="00E4078A" w:rsidRPr="00164A41" w:rsidRDefault="00E4078A" w:rsidP="00E4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468,97</w:t>
            </w:r>
          </w:p>
        </w:tc>
      </w:tr>
    </w:tbl>
    <w:p w14:paraId="47653C89" w14:textId="77777777" w:rsidR="00A44662" w:rsidRPr="00164A41" w:rsidRDefault="00E4078A" w:rsidP="00CA023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fldChar w:fldCharType="end"/>
      </w:r>
    </w:p>
    <w:p w14:paraId="11D02020" w14:textId="77777777" w:rsidR="00CA0230" w:rsidRPr="00164A41" w:rsidRDefault="00AD6C3F" w:rsidP="003817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Prihodi </w:t>
      </w:r>
      <w:r w:rsidR="001C45A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poslovanja prema izvorima financiranja Dječjeg vrtića Opatija su:</w:t>
      </w:r>
    </w:p>
    <w:p w14:paraId="786D229F" w14:textId="77777777" w:rsidR="000856AD" w:rsidRPr="00164A41" w:rsidRDefault="000856AD" w:rsidP="003817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DD6140B" w14:textId="77777777" w:rsidR="001C45A8" w:rsidRPr="00164A41" w:rsidRDefault="00F24949" w:rsidP="00C428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Ukupni </w:t>
      </w:r>
      <w:r w:rsidR="00010204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Opći prihodi i primici</w:t>
      </w:r>
      <w:r w:rsidR="001C45A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</w:t>
      </w:r>
      <w:r w:rsidR="002B7BC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856A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ostvareni su u iznosu od 1.771.432,57 eura što predstavlja 91,50% godišnjeg plana a u odnosu na </w:t>
      </w:r>
      <w:r w:rsidR="00205D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isto </w:t>
      </w:r>
      <w:r w:rsidR="000856A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razdoblje prethodne godine veći su za 8,72% zbog povećanja rashoda poslovanja u 2023. godini.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Opće prihode i primitke čine izvori:</w:t>
      </w:r>
    </w:p>
    <w:p w14:paraId="68CB9B39" w14:textId="77777777" w:rsidR="00F24949" w:rsidRPr="00164A41" w:rsidRDefault="00F24949" w:rsidP="00C428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 11</w:t>
      </w:r>
      <w:r w:rsidR="00E438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 </w:t>
      </w:r>
      <w:r w:rsidR="00E438A1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Opći prihodi i primici</w:t>
      </w:r>
      <w:r w:rsidR="00D93C5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- </w:t>
      </w:r>
      <w:r w:rsidR="00E438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sredstva Grada Opatije ostvareni u iznosu od 1.658.262,44 eura što predstavlja 90,98% godišnjeg plana a u odnosu na </w:t>
      </w:r>
      <w:r w:rsidR="002D202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isto </w:t>
      </w:r>
      <w:r w:rsidR="00E438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razdoblje prethodne godine veći su za 11,65%. </w:t>
      </w:r>
      <w:r w:rsidR="006B37E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Odnose se na </w:t>
      </w:r>
      <w:r w:rsidR="00E261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redovno poslovanje vrtića za 2023. godinu a ost</w:t>
      </w:r>
      <w:r w:rsidR="00D63D6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vareni</w:t>
      </w:r>
      <w:r w:rsidR="00E261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63D6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="00E261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90,98% u odnosu na plan </w:t>
      </w:r>
      <w:r w:rsidR="00D63D6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zbog manjih materijalnih troškova, viška ostvarenih vlastitih prihoda i zbog plaća i materijalnih troškova za prosinac 2023. koji su podmireni u siječnju 2024. godine.</w:t>
      </w:r>
    </w:p>
    <w:p w14:paraId="660EC082" w14:textId="77777777" w:rsidR="00E26126" w:rsidRPr="00164A41" w:rsidRDefault="00E26126" w:rsidP="00C428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 911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 </w:t>
      </w: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Opći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prihodi i primici-prijenos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 iznosu od 113.170,13 eura odnose se na pokriće prene</w:t>
      </w:r>
      <w:r w:rsidR="0040308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enog manjka iz 2022. godine.</w:t>
      </w:r>
    </w:p>
    <w:p w14:paraId="5EFC1D28" w14:textId="77777777" w:rsidR="00C42890" w:rsidRPr="00164A41" w:rsidRDefault="00D93C5A" w:rsidP="00C428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Izvor 31 – </w:t>
      </w:r>
      <w:r w:rsidR="00410964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V</w:t>
      </w: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lastiti prihodi </w:t>
      </w:r>
      <w:r w:rsidR="005E404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– priprema i prijevoz obroka </w:t>
      </w:r>
      <w:r w:rsidR="005E611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za produženi boravak OŠ Viktor Car Emin u Lovranu i Mošćeničkoj Dragi te prijevoz obroka za OŠ Rikard Katalinić Jeretov </w:t>
      </w:r>
      <w:r w:rsidR="005E404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– ostvareni su u iznosu od 47.517,28 eura</w:t>
      </w:r>
      <w:r w:rsidR="00C4289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veći su za 8,45% </w:t>
      </w:r>
      <w:r w:rsidR="004B39F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odnosu </w:t>
      </w:r>
      <w:r w:rsidR="00C4289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plan</w:t>
      </w:r>
      <w:r w:rsidR="000A5C0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</w:t>
      </w:r>
      <w:r w:rsidR="00C4289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2023. godin</w:t>
      </w:r>
      <w:r w:rsidR="000A5C0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</w:t>
      </w:r>
      <w:r w:rsidR="00276A5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C4289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odnosno za 3.703,28 eura a u odnosu na </w:t>
      </w:r>
      <w:r w:rsidR="00D96A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isto </w:t>
      </w:r>
      <w:r w:rsidR="00C4289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razdoblje prethodne godine veći su za 18,71%.</w:t>
      </w:r>
      <w:r w:rsidR="00EC61C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C4289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Izvršenje vlastitih prihodi od pripreme i prijevoza obroka veće je u odnosu na plan </w:t>
      </w:r>
      <w:r w:rsidR="00EC61C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2023</w:t>
      </w:r>
      <w:r w:rsidR="00C4289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EC61C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godine</w:t>
      </w:r>
      <w:r w:rsidR="00C4289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zbog većeg broja pripreme i prijevoza obroka.</w:t>
      </w:r>
    </w:p>
    <w:p w14:paraId="08F770E2" w14:textId="77777777" w:rsidR="00A42B17" w:rsidRPr="00164A41" w:rsidRDefault="009C08F0" w:rsidP="00C428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 43 – Ostali prihodi za posebne namjene</w:t>
      </w:r>
      <w:r w:rsidR="0050692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 sufinanciranje cijene vrtića</w:t>
      </w:r>
      <w:r w:rsidR="004B39F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(prihodi od roditelja) i prihodi od djelatnika za topli obrok</w:t>
      </w:r>
      <w:r w:rsidR="0050692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 ostvareni su u iznosu od </w:t>
      </w:r>
      <w:r w:rsidR="007915A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326.074,59 eura i veći su za </w:t>
      </w:r>
      <w:r w:rsidR="004B39F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11,99% u odnosu na plan za 2023. godinu</w:t>
      </w:r>
      <w:r w:rsidR="00276A5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odnosno 34.927,59 eura a u odnosu na </w:t>
      </w:r>
      <w:r w:rsidR="0076472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isto </w:t>
      </w:r>
      <w:r w:rsidR="00276A5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razdoblje prethodne godine veći su za</w:t>
      </w:r>
      <w:r w:rsidR="0076472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0,50%. Izvršenje vlastitih prihoda veće je u odnosu na plan za 2023. godinu zbog </w:t>
      </w:r>
      <w:r w:rsidR="00276A5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41096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bolje naplate potraživanja od roditelja, zbog manje </w:t>
      </w:r>
      <w:r w:rsidR="008C392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odsutnosti</w:t>
      </w:r>
      <w:r w:rsidR="0041096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djece (umanjenj</w:t>
      </w:r>
      <w:r w:rsidR="008C392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="0041096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cijene za bolovanja i godišnji odmor) i većih prihoda od djelatnika za topli obrok. </w:t>
      </w:r>
    </w:p>
    <w:p w14:paraId="17B2506A" w14:textId="77777777" w:rsidR="003346AD" w:rsidRPr="00164A41" w:rsidRDefault="00B93B39" w:rsidP="00C428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Izvor 52 – Ostale pomoći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–</w:t>
      </w:r>
      <w:r w:rsidR="0045291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odnose se na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sredstva </w:t>
      </w:r>
      <w:r w:rsidR="0045291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Općine Lovran za sufinanciranje cijene vrtića za djecu s područja Op</w:t>
      </w:r>
      <w:r w:rsidR="001C348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ć</w:t>
      </w:r>
      <w:r w:rsidR="0045291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ine Lovran, sredstva Ministarstva znanosti i obrazovanja za program za djecu pripadnike Talijanske nacionalne manjine, program predškole i program za djecu s posebnim potrebama, sredstva Općine Matulji za sufinanciranje cijene vrtića za dijete s područja Općine Matulji te sredstva </w:t>
      </w:r>
      <w:r w:rsidR="00666CF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 Državnog proračuna </w:t>
      </w:r>
      <w:r w:rsidR="00DA1A6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za fiskalnu održivost dječjih vrtića.</w:t>
      </w:r>
      <w:r w:rsidR="001C348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Prihodi su ostvareni u iznosu od 621.899,53 eura </w:t>
      </w:r>
      <w:r w:rsidR="00EF60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 veći su za 0,95% u odnosu na plan za 2023. godinu</w:t>
      </w:r>
      <w:r w:rsidR="00F749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 odnosno 5.880,53 eura</w:t>
      </w:r>
      <w:r w:rsidR="00EF60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u </w:t>
      </w:r>
      <w:r w:rsidR="004F16A9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EF60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donosu na isto razdoblje prethodne godine veći su za 24,50% zbog većeg udjela Općine Lovran u sufinanciranju cijene vrtića te zbog nove mjere o dodjeli sredstava iz državnog proračuna za fiskalnu održivost dječjih vrtića. Izvršenje prihoda u odnosu na plan za 2023. godinu veće je zbog više dobivenih sredstava Ministarstva znanosti i obrazovanja</w:t>
      </w:r>
      <w:r w:rsidR="00F749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2.412,60 eura</w:t>
      </w:r>
      <w:r w:rsidR="00EF60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 više dobivenih sredstava iz Državnog proračuna</w:t>
      </w:r>
      <w:r w:rsidR="00F749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1.935,00 eura </w:t>
      </w:r>
      <w:r w:rsidR="00EF60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te zbog sufinanciranj</w:t>
      </w:r>
      <w:r w:rsidR="005535A8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EF60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cijene</w:t>
      </w:r>
      <w:r w:rsidR="00F749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vrtića</w:t>
      </w:r>
      <w:r w:rsidR="00EF60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4326F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Općine </w:t>
      </w:r>
      <w:r w:rsidR="00F749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Matulji</w:t>
      </w:r>
      <w:r w:rsidR="004326F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dijete s područja Općine</w:t>
      </w:r>
      <w:r w:rsidR="00F749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Matulji u iznosu od 1.532,93 eura</w:t>
      </w:r>
      <w:r w:rsidR="004326F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EF60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2EC3C2D5" w14:textId="77777777" w:rsidR="00327674" w:rsidRPr="00164A41" w:rsidRDefault="00327674" w:rsidP="00C428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 61 – Ostale donacije</w:t>
      </w:r>
      <w:r w:rsidR="00964DA0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1423A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–</w:t>
      </w:r>
      <w:r w:rsidR="00964DA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1423A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dobivene donacije u 2023. godini iznose 7.705,26 eura (</w:t>
      </w:r>
      <w:r w:rsidR="00C77D1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Talijanska Unija</w:t>
      </w:r>
      <w:r w:rsidR="001423A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2.625,26 eura, Foto Luigi u iznosu od 80,00 eura i Gitone Kvarner d</w:t>
      </w:r>
      <w:r w:rsidR="00E5667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1423A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E5667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1423A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 u iznosu od 5.000,00 eura) i veće su u odnosu na planirane donacije za 2023. godinu u iznosu od 6.062,26. U odnosu na 2022. godinu donacije su manje za </w:t>
      </w:r>
      <w:r w:rsidR="00E97A0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3,56%.</w:t>
      </w:r>
    </w:p>
    <w:p w14:paraId="2716346E" w14:textId="77777777" w:rsidR="00651FA0" w:rsidRPr="00164A41" w:rsidRDefault="00651FA0" w:rsidP="003817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19E62BA4" w14:textId="77777777" w:rsidR="00EB4D15" w:rsidRDefault="00EB4D15" w:rsidP="006A5804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E24F797" w14:textId="77777777" w:rsidR="00540ED1" w:rsidRDefault="00540ED1" w:rsidP="006A5804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B3B1A7F" w14:textId="77777777" w:rsidR="009E392C" w:rsidRDefault="009E392C" w:rsidP="006A5804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5744E49" w14:textId="77777777" w:rsidR="009E392C" w:rsidRDefault="009E392C" w:rsidP="006A5804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9EBF952" w14:textId="77777777" w:rsidR="009E392C" w:rsidRPr="00164A41" w:rsidRDefault="009E392C" w:rsidP="006A5804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CC89E79" w14:textId="77777777" w:rsidR="000B0A2B" w:rsidRPr="00164A41" w:rsidRDefault="00995281" w:rsidP="00AB10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lastRenderedPageBreak/>
        <w:t>RASHODI POSLOVANJA</w:t>
      </w:r>
    </w:p>
    <w:p w14:paraId="47746013" w14:textId="77777777" w:rsidR="00AE1C55" w:rsidRPr="00164A41" w:rsidRDefault="00AE1C55" w:rsidP="008E335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569683C1" w14:textId="77777777" w:rsidR="007750B6" w:rsidRPr="00164A41" w:rsidRDefault="007750B6" w:rsidP="007750B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Ukupni rashodi i izdaci poslovanja Dječjeg vrtića Opatija ostvareni su</w:t>
      </w:r>
      <w:r w:rsidR="0068376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2.809.943,88 eura odnosno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101,0</w:t>
      </w:r>
      <w:r w:rsidR="004540FC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% godišnj</w:t>
      </w:r>
      <w:r w:rsidR="00A044A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eg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plan</w:t>
      </w:r>
      <w:r w:rsidR="00A044A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dok su u odnosu na isto razdoblje 2022. godine veći za 11,86% odnosno za 298.108,89 eura. </w:t>
      </w:r>
    </w:p>
    <w:p w14:paraId="67496E8F" w14:textId="77777777" w:rsidR="007750B6" w:rsidRPr="00164A41" w:rsidRDefault="007750B6" w:rsidP="007750B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7234FED" w14:textId="77777777" w:rsidR="00AB3DC2" w:rsidRPr="00164A41" w:rsidRDefault="00AB3DC2" w:rsidP="007750B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70BDE0C1" w14:textId="77777777" w:rsidR="00AE1C55" w:rsidRPr="00164A41" w:rsidRDefault="00AE1C55" w:rsidP="00AB10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bookmarkStart w:id="0" w:name="_Hlk158892378"/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RASHODI POSLOVANJA PREMA EKONO</w:t>
      </w:r>
      <w:r w:rsidR="004B09AD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MSKOJ KLASIFIKACIJI</w:t>
      </w:r>
    </w:p>
    <w:bookmarkEnd w:id="0"/>
    <w:p w14:paraId="3F644C04" w14:textId="77777777" w:rsidR="000B6117" w:rsidRPr="00164A41" w:rsidRDefault="000B6117" w:rsidP="00AB10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05C511B2" w14:textId="77777777" w:rsidR="000B6117" w:rsidRPr="00164A41" w:rsidRDefault="000B6117" w:rsidP="000B611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bookmarkStart w:id="1" w:name="_Hlk158892430"/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Rashodi poslovanja prema ekonomskoj kvalifikaciji ostvareni su kako slijedi: </w:t>
      </w:r>
    </w:p>
    <w:bookmarkEnd w:id="1"/>
    <w:p w14:paraId="74447DC7" w14:textId="77777777" w:rsidR="003C0A15" w:rsidRPr="00164A41" w:rsidRDefault="003C0A15" w:rsidP="00AD69D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tbl>
      <w:tblPr>
        <w:tblW w:w="101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985"/>
        <w:gridCol w:w="1417"/>
        <w:gridCol w:w="1276"/>
        <w:gridCol w:w="1417"/>
        <w:gridCol w:w="1134"/>
        <w:gridCol w:w="1122"/>
      </w:tblGrid>
      <w:tr w:rsidR="00292BDA" w:rsidRPr="00164A41" w14:paraId="344C77CB" w14:textId="77777777" w:rsidTr="00292BDA">
        <w:trPr>
          <w:trHeight w:val="288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9A2A44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5426A0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5AC39D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0F0F69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CF23E1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A06ECA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C7258F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F8A130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292BDA" w:rsidRPr="00164A41" w14:paraId="31E50EE9" w14:textId="77777777" w:rsidTr="00292BDA">
        <w:trPr>
          <w:trHeight w:val="54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C79EA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DF7AD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37073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DEC5B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2D35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03568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ED8084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2023/2022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682876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Izvršenje/Plan</w:t>
            </w:r>
          </w:p>
        </w:tc>
      </w:tr>
      <w:tr w:rsidR="00292BDA" w:rsidRPr="00164A41" w14:paraId="3CCEC9B8" w14:textId="77777777" w:rsidTr="00292BD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C488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55E9C" w14:textId="77777777" w:rsidR="00292BDA" w:rsidRPr="00164A41" w:rsidRDefault="00292BDA" w:rsidP="0029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7245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949C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2.511.834,99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12D1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2.780.276,00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B638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2.809.943,88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A3119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111,86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731D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101,0</w:t>
            </w:r>
            <w:r w:rsidR="004540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292BDA" w:rsidRPr="00164A41" w14:paraId="52E7BA98" w14:textId="77777777" w:rsidTr="00292BDA">
        <w:trPr>
          <w:trHeight w:val="5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D7BCC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326C9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3D985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C7764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2.482.482,26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D1A63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2.755.736,00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A008A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2.776.399,08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366EE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111,83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08629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100,74</w:t>
            </w:r>
          </w:p>
        </w:tc>
      </w:tr>
      <w:tr w:rsidR="00292BDA" w:rsidRPr="00164A41" w14:paraId="76B81BE2" w14:textId="77777777" w:rsidTr="00292BDA">
        <w:trPr>
          <w:trHeight w:val="3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E420C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87E42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070CA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39B72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1.880.658,29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F48BE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2.112.613,00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6832F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2.113.144,24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3539A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112,36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B1741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100,0</w:t>
            </w:r>
            <w:r w:rsidR="003E090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292BDA" w:rsidRPr="00164A41" w14:paraId="382F1377" w14:textId="77777777" w:rsidTr="00292BDA">
        <w:trPr>
          <w:trHeight w:val="3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2B64C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84B90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7B7DE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59059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601.002,51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F71DD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642.250,00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FE25D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662.430,86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BAA4F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110,22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15CBA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103,14</w:t>
            </w:r>
          </w:p>
        </w:tc>
      </w:tr>
      <w:tr w:rsidR="00292BDA" w:rsidRPr="00164A41" w14:paraId="418F1361" w14:textId="77777777" w:rsidTr="00292BDA">
        <w:trPr>
          <w:trHeight w:val="3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A8DC2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CF092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5C124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F7EF2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5EBB2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FE713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823,98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0B4D2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100,3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5ABDD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94,38</w:t>
            </w:r>
          </w:p>
        </w:tc>
      </w:tr>
      <w:tr w:rsidR="00292BDA" w:rsidRPr="00164A41" w14:paraId="1C29AF88" w14:textId="77777777" w:rsidTr="00292BDA">
        <w:trPr>
          <w:trHeight w:val="5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73EC4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FA677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20516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9FF5F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29.352,73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6CC4E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24.540,00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8C2A6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33.544,80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02CE0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114,28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66DA9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136,69</w:t>
            </w:r>
          </w:p>
        </w:tc>
      </w:tr>
      <w:tr w:rsidR="00292BDA" w:rsidRPr="00164A41" w14:paraId="58A79BDE" w14:textId="77777777" w:rsidTr="00292BDA">
        <w:trPr>
          <w:trHeight w:val="80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FC4A9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8291C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E0D55" w14:textId="77777777" w:rsidR="00292BDA" w:rsidRPr="00164A41" w:rsidRDefault="00292BDA" w:rsidP="00292B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260E1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29.352,73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B59E6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24.540,00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4B54D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33.544,80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C48A0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114,28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B137E" w14:textId="77777777" w:rsidR="00292BDA" w:rsidRPr="00164A41" w:rsidRDefault="00292BDA" w:rsidP="0029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136,69</w:t>
            </w:r>
          </w:p>
        </w:tc>
      </w:tr>
    </w:tbl>
    <w:p w14:paraId="31137E59" w14:textId="77777777" w:rsidR="008C7048" w:rsidRPr="00164A41" w:rsidRDefault="008C7048" w:rsidP="00C0189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53E2E8FC" w14:textId="77777777" w:rsidR="00C0189D" w:rsidRPr="00164A41" w:rsidRDefault="00C0189D" w:rsidP="00C0189D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</w:pPr>
      <w:r w:rsidRPr="00164A4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>Ukupni rashodi poslovanja u 2023.godini iznose 2.809.943,88 i veći su za 1,0</w:t>
      </w:r>
      <w:r w:rsidR="00A756F6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>7</w:t>
      </w:r>
      <w:r w:rsidRPr="00164A4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>% u odnosu na godišnji plan zbog većih materijalnih rashoda i većih rashoda za nabavu nefinancijske imovine</w:t>
      </w:r>
      <w:r w:rsidR="00C4051C" w:rsidRPr="00164A4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>.</w:t>
      </w:r>
      <w:r w:rsidRPr="00164A4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 xml:space="preserve"> </w:t>
      </w:r>
    </w:p>
    <w:p w14:paraId="4310DE6B" w14:textId="77777777" w:rsidR="00C60B59" w:rsidRPr="00164A41" w:rsidRDefault="00C0189D" w:rsidP="00C0189D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</w:pPr>
      <w:r w:rsidRPr="00164A4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>Ukupni rashodi za 2023. godinu veći su za 11,86% u odnosu na 2022. godinu zbog povećanja rashoda za zaposlene</w:t>
      </w:r>
      <w:r w:rsidR="00C60B59" w:rsidRPr="00164A4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 xml:space="preserve"> i </w:t>
      </w:r>
      <w:r w:rsidRPr="00164A4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>povećanja materijalnih rashoda</w:t>
      </w:r>
      <w:r w:rsidR="00C60B59" w:rsidRPr="00164A4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>.</w:t>
      </w:r>
    </w:p>
    <w:p w14:paraId="793184A9" w14:textId="77777777" w:rsidR="00CA1F11" w:rsidRPr="00164A41" w:rsidRDefault="00C0189D" w:rsidP="00C0189D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</w:pPr>
      <w:r w:rsidRPr="00164A4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 xml:space="preserve"> </w:t>
      </w:r>
    </w:p>
    <w:p w14:paraId="7BBB46C5" w14:textId="77777777" w:rsidR="00C0189D" w:rsidRPr="00164A41" w:rsidRDefault="00A30218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3 – Rashodi poslovanja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odnose se na:</w:t>
      </w:r>
    </w:p>
    <w:p w14:paraId="5A96EBAD" w14:textId="77777777" w:rsidR="00CA1F11" w:rsidRPr="00164A41" w:rsidRDefault="00CA1F11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31 – Rashodi za zaposlene</w:t>
      </w:r>
      <w:r w:rsidR="00F16D1F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F16D1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odnose se na rashode za bruto plaće i doprinose na plaće, ostale rashode za zaposlene (jubilarne nagrade, pomoći, dar za rođenje djeteta, poklon bon za Uskrs, dar djeci, naknada za topli obrok, regres za godišnji odmor, božićnica, otpremnina) i</w:t>
      </w: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realizirani su u iznosu od 2.113.144,24 eura </w:t>
      </w:r>
      <w:r w:rsidR="0058059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odnosno</w:t>
      </w:r>
      <w:r w:rsidR="00F16D1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100,0</w:t>
      </w:r>
      <w:r w:rsidR="00970273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F16D1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%</w:t>
      </w:r>
      <w:r w:rsidR="00787D4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sukladno planu za </w:t>
      </w:r>
      <w:r w:rsidR="004316B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2023. godinu.</w:t>
      </w:r>
      <w:r w:rsidR="00F16D1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4316B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 odnosu na 2022. godinu rashodi za zaposlene veći su za 12,36% zbog povećanja broja djelatnika, povećanja osno</w:t>
      </w:r>
      <w:r w:rsidR="00B8057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vice plaća i ostalih rashoda za zaposlene.</w:t>
      </w:r>
    </w:p>
    <w:p w14:paraId="6ADC2C47" w14:textId="77777777" w:rsidR="0058059A" w:rsidRPr="00164A41" w:rsidRDefault="0058059A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32 – Materijalni rashodi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– realizirani su u iznosu od 662.250,00 eura odnosno 103,14% </w:t>
      </w:r>
      <w:r w:rsidR="003D74E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godišnjeg plana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 u odnosu na isto razdoblje prethodne godine veći su za 10,22%,</w:t>
      </w:r>
      <w:r w:rsidR="000721CD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 čine ih:</w:t>
      </w:r>
    </w:p>
    <w:p w14:paraId="1B9B973B" w14:textId="77777777" w:rsidR="0058059A" w:rsidRPr="00164A41" w:rsidRDefault="0058059A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Naknade troškova za zaposlene</w:t>
      </w:r>
      <w:r w:rsidR="00E22D8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2023. godini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iznose 83.755,65 eura </w:t>
      </w:r>
      <w:r w:rsidR="0037753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 u odnosu na godišnji plan manji su za 5,80%</w:t>
      </w:r>
      <w:r w:rsidR="00E22D8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7753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zbog manjih izdataka za naknadu za prijevoz i ostalih naknada troškova za zaposlene </w:t>
      </w:r>
      <w:r w:rsidR="0017345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(loko </w:t>
      </w:r>
      <w:r w:rsidR="00C77D1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17345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vožnja) </w:t>
      </w:r>
      <w:r w:rsidR="00E22D8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 u odnosu na 2022. godinu veće su za 22,17% zbog povećanja naknada za prijevoz (rast cijena putnih karata i povećanje broja zaposlenih) te zbog povećanja izdataka za služ</w:t>
      </w:r>
      <w:r w:rsidR="00DC03BD">
        <w:rPr>
          <w:rFonts w:ascii="Times New Roman" w:hAnsi="Times New Roman" w:cs="Times New Roman"/>
          <w:noProof/>
          <w:sz w:val="24"/>
          <w:szCs w:val="24"/>
          <w:lang w:eastAsia="hr-HR"/>
        </w:rPr>
        <w:t>b</w:t>
      </w:r>
      <w:r w:rsidR="00E22D8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ena putovanja i stručnog usavršavanja zaposlenika.</w:t>
      </w:r>
    </w:p>
    <w:p w14:paraId="3B057A97" w14:textId="77777777" w:rsidR="00E4653E" w:rsidRPr="00164A41" w:rsidRDefault="00E4653E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Rashodi za materijal i energiju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2023. godini iznose 432.377,67 eura i u odnosu na godišnji plan veći su za </w:t>
      </w:r>
      <w:r w:rsidR="00380F2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9,01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% zbog veće potrošnje i porasta cijena namirnica te uredskog i ostalog potrošnog materijala</w:t>
      </w:r>
      <w:r w:rsidR="008E11F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(materijal za odgoj</w:t>
      </w:r>
      <w:r w:rsidR="008826B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n</w:t>
      </w:r>
      <w:r w:rsidR="008E11F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 – obrazovne</w:t>
      </w:r>
      <w:r w:rsidR="008238D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skupine</w:t>
      </w:r>
      <w:r w:rsidR="008E11F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te sredstva za čišćenje)</w:t>
      </w:r>
      <w:r w:rsidR="00C0673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 U odnosu na 2022. godinu rashodi su veći za 1</w:t>
      </w:r>
      <w:r w:rsidR="00295DE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1,98</w:t>
      </w:r>
      <w:r w:rsidR="00C0673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</w:t>
      </w:r>
      <w:r w:rsidR="002D5FA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zbog rasta cijena i veće potrošnje uredskog i ostalog potrošnog materijala, namirnica te većih izdataka za nabavku si</w:t>
      </w:r>
      <w:r w:rsidR="003D2E3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t</w:t>
      </w:r>
      <w:r w:rsidR="002D5FA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nog inventara (nabava </w:t>
      </w:r>
      <w:r w:rsidR="003D2E3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didaktičkog materijala</w:t>
      </w:r>
      <w:r w:rsidR="002D5FA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sve odgojn</w:t>
      </w:r>
      <w:r w:rsidR="008238D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 - obrazovne</w:t>
      </w:r>
      <w:r w:rsidR="002D5FA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skupine) i službene i radne odjeće</w:t>
      </w:r>
      <w:r w:rsidR="00C9229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5C3CC99F" w14:textId="77777777" w:rsidR="001E3A23" w:rsidRPr="00164A41" w:rsidRDefault="001E3A23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lastRenderedPageBreak/>
        <w:t>Rashodi za usluge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2023. godini iznose 110.</w:t>
      </w:r>
      <w:r w:rsidR="00C60B5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951,01</w:t>
      </w:r>
      <w:r w:rsidR="0070556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i u odnosu na godišnji plan</w:t>
      </w:r>
      <w:r w:rsidR="002D290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manji su za</w:t>
      </w:r>
      <w:r w:rsidR="00C6043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8,10% zbog manjih izdataka za usluge prijevoza, usluge tekućeg i investicijskog održavanja, usluge promidžbe i informiranja, zdravstvene i veterinarske usluge te intelektualne i osobne usluge</w:t>
      </w:r>
      <w:r w:rsidR="00DA587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prema stvarnim potrebama poslovanja.</w:t>
      </w:r>
      <w:r w:rsidR="00C6043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BF140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 odnosu na 2022. godinu rashodi su manji za 1,14% zbog manjih izdataka za usluge prijevoza, usluge promidžbe i informiranja,</w:t>
      </w:r>
      <w:r w:rsidR="00DA587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6B557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intelektualne</w:t>
      </w:r>
      <w:r w:rsidR="00DA587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</w:t>
      </w:r>
      <w:r w:rsidR="00961B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os</w:t>
      </w:r>
      <w:r w:rsidR="00DA587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obne usluge dok su ostali rashodi za usluge veći u 2023. godini.</w:t>
      </w:r>
    </w:p>
    <w:p w14:paraId="230FBFA4" w14:textId="77777777" w:rsidR="00F31866" w:rsidRPr="00164A41" w:rsidRDefault="00F31866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Ostali nespomenuti rashodi poslovanja</w:t>
      </w:r>
      <w:r w:rsidR="009611C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2023. godini iznose 35.346,53 eura i u </w:t>
      </w:r>
      <w:r w:rsidR="00C23A6F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9611C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dnosu na godišnji plan manji su za 2,50% zbog </w:t>
      </w:r>
      <w:r w:rsidR="001E2FB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znatno </w:t>
      </w:r>
      <w:r w:rsidR="009611C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manjih izdataka za reprezentaciju. Ostali </w:t>
      </w:r>
      <w:r w:rsidR="00146A1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nespomenuti</w:t>
      </w:r>
      <w:r w:rsidR="003764E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611C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rashodi – naknade za rad predstavničkih tijela, premije osiguranja i ostalo realizirani su sukladno planu. U odnosu na </w:t>
      </w:r>
      <w:r w:rsidR="00FE001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2022. godinu rashodi su veći za 3,59% zbog većih izdataka za premije osiguranja</w:t>
      </w:r>
      <w:r w:rsidR="00890C0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(rast cijena polica osiguranja)</w:t>
      </w:r>
      <w:r w:rsidR="00A1696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ostalih nespomenutih rashoda poslovanja.</w:t>
      </w:r>
    </w:p>
    <w:p w14:paraId="2E37B91E" w14:textId="77777777" w:rsidR="00106CEC" w:rsidRPr="00164A41" w:rsidRDefault="00106CEC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 xml:space="preserve">Financijski rashodi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iznose </w:t>
      </w:r>
      <w:r w:rsidR="008F1A3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823,98 eura i manji su u odnosu na plan za 3,30% zbog manje izdataka za bankarske usluge i usluge platnog prometa. U odnosu na 2022. godinu troškovi za bankarske usluge i usluge platnog prometa su na istoj razini.</w:t>
      </w:r>
    </w:p>
    <w:p w14:paraId="2AC572C4" w14:textId="77777777" w:rsidR="00A56F68" w:rsidRPr="00164A41" w:rsidRDefault="00A56F68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73D08BE3" w14:textId="77777777" w:rsidR="00A56F68" w:rsidRPr="00164A41" w:rsidRDefault="00A56F68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4 – Rashodi za nabavu nefinancijske imovine</w:t>
      </w:r>
      <w:r w:rsidR="00782481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8D31D2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za 2023. godinu </w:t>
      </w:r>
      <w:r w:rsidR="0078248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izvršeni su u iznosu od 33.544,80 eura a u odnosu na </w:t>
      </w:r>
      <w:r w:rsidR="008D31D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godišnji </w:t>
      </w:r>
      <w:r w:rsidR="0078248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plan veći su za 36,7% zbog dobivenih donacija i većeg ostvarenja vlastitih prihoda </w:t>
      </w:r>
      <w:r w:rsidR="008D31D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te</w:t>
      </w:r>
      <w:r w:rsidR="0078248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su </w:t>
      </w:r>
      <w:r w:rsidR="008D31D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ta sredstva utrošena za nabavku namještaja za vrtićke grupe</w:t>
      </w:r>
      <w:r w:rsidR="0078248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ED1CA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se odnose na nabavku uredske opreme i namještaja (</w:t>
      </w:r>
      <w:r w:rsidR="00ED59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namještaj za vrtićke skupine i računalna oprema) u iznosu od 24.845,85 eura, nabavku uređaja, strojeva i opreme za ostale namjene u iznosu od 2.550,00 eura, nabavku opreme za održavanje i zaštitu u iznosu od 4.762,00 eura i ulaganja u računalne programe u iznosu od </w:t>
      </w:r>
      <w:r w:rsidR="001A6B4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1.</w:t>
      </w:r>
      <w:r w:rsidR="00ED59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386,95 eura.</w:t>
      </w:r>
    </w:p>
    <w:p w14:paraId="229376A2" w14:textId="77777777" w:rsidR="009E6588" w:rsidRPr="00164A41" w:rsidRDefault="009E6588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E3ADF60" w14:textId="77777777" w:rsidR="004838BB" w:rsidRPr="00164A41" w:rsidRDefault="004838BB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3981409" w14:textId="77777777" w:rsidR="009E6588" w:rsidRPr="00164A41" w:rsidRDefault="0058059A" w:rsidP="009E6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E6588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RASHODI POSLOVANJA PREMA </w:t>
      </w:r>
      <w:r w:rsidR="004838BB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IZVORIMA FINANCIRANJA</w:t>
      </w:r>
    </w:p>
    <w:p w14:paraId="7C454C8C" w14:textId="77777777" w:rsidR="009375BE" w:rsidRPr="00164A41" w:rsidRDefault="009375BE" w:rsidP="009375B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0996884E" w14:textId="77777777" w:rsidR="009375BE" w:rsidRPr="00164A41" w:rsidRDefault="009375BE" w:rsidP="009375B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Rashodi poslovanja prema izvorima financiranja ostvareni su kako slijedi: </w:t>
      </w:r>
    </w:p>
    <w:p w14:paraId="6EF7CC1C" w14:textId="77777777" w:rsidR="009375BE" w:rsidRPr="00164A41" w:rsidRDefault="009375BE" w:rsidP="009375B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2825"/>
        <w:gridCol w:w="1701"/>
        <w:gridCol w:w="1560"/>
        <w:gridCol w:w="1559"/>
        <w:gridCol w:w="1089"/>
        <w:gridCol w:w="1462"/>
      </w:tblGrid>
      <w:tr w:rsidR="008B2763" w:rsidRPr="00164A41" w14:paraId="2EC689E3" w14:textId="77777777" w:rsidTr="008B2763">
        <w:trPr>
          <w:trHeight w:val="624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5E3BB8" w14:textId="77777777" w:rsidR="008B2763" w:rsidRPr="00164A41" w:rsidRDefault="008B2763" w:rsidP="008B276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25CAE6" w14:textId="77777777" w:rsidR="008B2763" w:rsidRPr="00164A41" w:rsidRDefault="008B2763" w:rsidP="008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E5B737" w14:textId="77777777" w:rsidR="008B2763" w:rsidRPr="00164A41" w:rsidRDefault="008B2763" w:rsidP="008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B294C5" w14:textId="77777777" w:rsidR="008B2763" w:rsidRPr="00164A41" w:rsidRDefault="008B2763" w:rsidP="008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02109A" w14:textId="77777777" w:rsidR="008B2763" w:rsidRPr="00164A41" w:rsidRDefault="008B2763" w:rsidP="008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% </w:t>
            </w:r>
          </w:p>
          <w:p w14:paraId="74439EE9" w14:textId="77777777" w:rsidR="008B2763" w:rsidRPr="00164A41" w:rsidRDefault="008B2763" w:rsidP="008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2023/2022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344EF9" w14:textId="77777777" w:rsidR="008B2763" w:rsidRPr="00164A41" w:rsidRDefault="008B2763" w:rsidP="008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 Izvršenje/Plan</w:t>
            </w:r>
          </w:p>
        </w:tc>
      </w:tr>
      <w:tr w:rsidR="008B2763" w:rsidRPr="00164A41" w14:paraId="4BA69DCC" w14:textId="77777777" w:rsidTr="008B2763">
        <w:trPr>
          <w:trHeight w:val="2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4A4BB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0568C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5370A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D4FFA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21FF64" w14:textId="77777777" w:rsidR="008B2763" w:rsidRPr="00164A41" w:rsidRDefault="008B2763" w:rsidP="008B276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4F6370" w14:textId="77777777" w:rsidR="008B2763" w:rsidRPr="00164A41" w:rsidRDefault="008B2763" w:rsidP="008B276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</w:tr>
      <w:tr w:rsidR="008B2763" w:rsidRPr="00164A41" w14:paraId="14454AEB" w14:textId="77777777" w:rsidTr="008B2763">
        <w:trPr>
          <w:trHeight w:val="43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07A58" w14:textId="77777777" w:rsidR="008B2763" w:rsidRPr="00164A41" w:rsidRDefault="008B2763" w:rsidP="008B276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256A2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2.511.834,99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28ECC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2.780.276,00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CEB06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2.809.943,88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10085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111,86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DE921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101,0</w:t>
            </w:r>
            <w:r w:rsidR="00FC15D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8B2763" w:rsidRPr="00164A41" w14:paraId="72780FB4" w14:textId="77777777" w:rsidTr="008B2763">
        <w:trPr>
          <w:trHeight w:val="61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7C820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55AA6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1.639.949,82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38924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1.822.653,00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10710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1.801.747,65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8DA9D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109,86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77ECB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98,85</w:t>
            </w:r>
          </w:p>
        </w:tc>
      </w:tr>
      <w:tr w:rsidR="008B2763" w:rsidRPr="00164A41" w14:paraId="77A502A2" w14:textId="77777777" w:rsidTr="008B2763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F640E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AE23B6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1.598.341,23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CC08F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1.822.653,00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93E45A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1.801.747,65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ABFF3B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112,72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6B2632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98,85</w:t>
            </w:r>
          </w:p>
        </w:tc>
      </w:tr>
      <w:tr w:rsidR="008B2763" w:rsidRPr="00164A41" w14:paraId="64E2B67C" w14:textId="77777777" w:rsidTr="008B2763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30315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911 Opći prihodi-prijenos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79E46B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41.608,59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3CA1A7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127A21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E42493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5BD40D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B2763" w:rsidRPr="00164A41" w14:paraId="6D98A7FA" w14:textId="77777777" w:rsidTr="008B2763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FA2FD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9CABFD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40.026,32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7EC7DA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43.814,00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C5BFDA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47.517,28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5DD6E0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118,71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09308F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108,45</w:t>
            </w:r>
          </w:p>
        </w:tc>
      </w:tr>
      <w:tr w:rsidR="008B2763" w:rsidRPr="00164A41" w14:paraId="21A9531C" w14:textId="77777777" w:rsidTr="008B2763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10D58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31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19B59F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40.026,32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5967A3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43.814,00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E987A5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47.517,28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59DF6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118,71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8991BF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108,45</w:t>
            </w:r>
          </w:p>
        </w:tc>
      </w:tr>
      <w:tr w:rsidR="008B2763" w:rsidRPr="00164A41" w14:paraId="3841D5EE" w14:textId="77777777" w:rsidTr="008B2763">
        <w:trPr>
          <w:trHeight w:val="37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6236C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E9E6A9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324.443,09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42C81E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296.147,00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4283A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326.074,59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880054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100,50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816665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110,10</w:t>
            </w:r>
          </w:p>
        </w:tc>
      </w:tr>
      <w:tr w:rsidR="008B2763" w:rsidRPr="00164A41" w14:paraId="0F9ED28C" w14:textId="77777777" w:rsidTr="008B2763">
        <w:trPr>
          <w:trHeight w:val="56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8EFDD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  <w:t xml:space="preserve">  43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D6DA68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324.443,09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85C1EB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296.147,00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6D0AB2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326.074,59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401C98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100,50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95A31A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110,10</w:t>
            </w:r>
          </w:p>
        </w:tc>
      </w:tr>
      <w:tr w:rsidR="008B2763" w:rsidRPr="00164A41" w14:paraId="2945B413" w14:textId="77777777" w:rsidTr="008B2763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FDE1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5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BB8358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499.489,02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AAA24F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616.019,00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217449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621.899,53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76E838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124,50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B75BB3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100,95</w:t>
            </w:r>
          </w:p>
        </w:tc>
      </w:tr>
      <w:tr w:rsidR="008B2763" w:rsidRPr="00164A41" w14:paraId="4A31002F" w14:textId="77777777" w:rsidTr="008B2763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A12C4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  <w:t xml:space="preserve">  52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4EEF8C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499.489,02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48C1ED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616.019,00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446282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621.899,53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840505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124,50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C16AF4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100,95</w:t>
            </w:r>
          </w:p>
        </w:tc>
      </w:tr>
      <w:tr w:rsidR="008B2763" w:rsidRPr="00164A41" w14:paraId="16882F46" w14:textId="77777777" w:rsidTr="008B2763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FA57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F0D1B1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7.926,74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A95755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6.643,00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881E2A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12.704,83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F9F345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160,27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F678E0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191,25</w:t>
            </w:r>
          </w:p>
        </w:tc>
      </w:tr>
      <w:tr w:rsidR="008B2763" w:rsidRPr="00164A41" w14:paraId="7CCB3B08" w14:textId="77777777" w:rsidTr="008B2763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A5AB0" w14:textId="77777777" w:rsidR="008B2763" w:rsidRPr="00164A41" w:rsidRDefault="008B2763" w:rsidP="008B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hr-HR"/>
              </w:rPr>
              <w:t xml:space="preserve">  61 Ostale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5C5A4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7.926,74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3BE4CB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6.643,00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C51847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12.704,83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11365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160,27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91B49F" w14:textId="77777777" w:rsidR="008B2763" w:rsidRPr="00164A41" w:rsidRDefault="008B2763" w:rsidP="008B2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191,25</w:t>
            </w:r>
          </w:p>
        </w:tc>
      </w:tr>
    </w:tbl>
    <w:p w14:paraId="1BA4AB1A" w14:textId="77777777" w:rsidR="00E25B2D" w:rsidRPr="00164A41" w:rsidRDefault="00E25B2D" w:rsidP="009375B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744CE67" w14:textId="77777777" w:rsidR="009375BE" w:rsidRPr="00164A41" w:rsidRDefault="00A044AE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Izvor 11 – Opći prihodi i primici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– </w:t>
      </w:r>
      <w:r w:rsidR="00753DF8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sredst</w:t>
      </w:r>
      <w:r w:rsidR="00EB408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va Grada Opatije</w:t>
      </w:r>
      <w:r w:rsidR="00EB408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rashodi su ostvareni u iznosu od 1.801.747,65 eura i čine 98,85% godišnjeg plana</w:t>
      </w:r>
      <w:r w:rsidR="00350C0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odnose se na rashode za zaposlene u iznosu od 1.482.143,24 eura, materijalne </w:t>
      </w:r>
      <w:r w:rsidR="00350C0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rashode u iznosu od </w:t>
      </w:r>
      <w:r w:rsidR="00864FB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308.425,23 eura te rashode za nabavu nefinancijske imovine u iznosu od 11.179,18 eura.</w:t>
      </w:r>
      <w:r w:rsidR="002E512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iz izvora 11 odnose na </w:t>
      </w:r>
      <w:r w:rsidR="0076153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ukupne</w:t>
      </w:r>
      <w:r w:rsidR="007A367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rashode</w:t>
      </w:r>
      <w:r w:rsidR="002E512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vrtića sa područja Grada Opatije (vrtići Opatija, Volosko, </w:t>
      </w:r>
      <w:r w:rsidR="000D56B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Ičići</w:t>
      </w:r>
      <w:r w:rsidR="002E512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Veprinac) dok se dio materijalnih rashoda odnosi na financiranje troškova vrtića s područja Općine Lovran zbog upisane djece s područja Grada Opatije </w:t>
      </w:r>
      <w:r w:rsidR="009F658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(30% </w:t>
      </w:r>
      <w:r w:rsidR="00BE206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t>materijalnih troškova</w:t>
      </w:r>
      <w:r w:rsidR="009F658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vrtić</w:t>
      </w:r>
      <w:r w:rsidR="00BE206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9F658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Lovran</w:t>
      </w:r>
      <w:r w:rsidR="008A583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) </w:t>
      </w:r>
      <w:r w:rsidR="002E512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F658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 r</w:t>
      </w:r>
      <w:r w:rsidR="002E512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ashodi za zaposlene koji se odnose na stručne službe i administrativno-računovodstvene službe na </w:t>
      </w:r>
      <w:r w:rsidR="00215C23">
        <w:rPr>
          <w:rFonts w:ascii="Times New Roman" w:hAnsi="Times New Roman" w:cs="Times New Roman"/>
          <w:noProof/>
          <w:sz w:val="24"/>
          <w:szCs w:val="24"/>
          <w:lang w:eastAsia="hr-HR"/>
        </w:rPr>
        <w:t>razini</w:t>
      </w:r>
      <w:r w:rsidR="002E512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Ustanove financiraju se </w:t>
      </w:r>
      <w:r w:rsidR="00641E0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70%</w:t>
      </w:r>
      <w:r w:rsidR="009F658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 </w:t>
      </w:r>
      <w:r w:rsidR="00AC0C1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sredstava</w:t>
      </w:r>
      <w:r w:rsidR="009F658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Grada Opatije.</w:t>
      </w:r>
      <w:r w:rsidR="002E512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A656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Rashodi su manje ostvareni za 1,15% u odnosu na plan za 2023. godinu zbog manjih izdataka za materijalne rashode.</w:t>
      </w:r>
    </w:p>
    <w:p w14:paraId="45AF039C" w14:textId="77777777" w:rsidR="00007334" w:rsidRPr="00164A41" w:rsidRDefault="005E6111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Izvor 31 – Vlastiti prihodi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– </w:t>
      </w:r>
      <w:r w:rsidR="005B5BFE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od </w:t>
      </w:r>
      <w:r w:rsidR="0033714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prihod</w:t>
      </w:r>
      <w:r w:rsidR="005B5BFE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33714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priprem</w:t>
      </w:r>
      <w:r w:rsidR="0033714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prijevoz</w:t>
      </w:r>
      <w:r w:rsidR="0033714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obroka</w:t>
      </w:r>
      <w:r w:rsidR="0033714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su ostvareni u iznosu od 47.517,28 eura i čine 1</w:t>
      </w:r>
      <w:r w:rsidR="00E657A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08,45</w:t>
      </w:r>
      <w:r w:rsidR="0033714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% godišnjeg plana</w:t>
      </w:r>
      <w:r w:rsidR="00132DB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odno</w:t>
      </w:r>
      <w:r w:rsidR="00891C4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="00132DB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e se na rashode za materijal i sirovinu u iznosu od 33.815,22 eura</w:t>
      </w:r>
      <w:r w:rsidR="00891C4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132DB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sitan inventar – </w:t>
      </w:r>
      <w:r w:rsidR="00EA569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didaktički materijal</w:t>
      </w:r>
      <w:r w:rsidR="00132DB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8.627,01 eura</w:t>
      </w:r>
      <w:r w:rsidR="00891C4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rashode za nabavu nefinancijske imovine – uredska oprema i namještaj u iznosu od 5.075,05 eura.</w:t>
      </w:r>
      <w:r w:rsidR="00E657A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su veći za 8,45% u </w:t>
      </w:r>
      <w:r w:rsidR="00762CB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odnosu</w:t>
      </w:r>
      <w:r w:rsidR="00E657A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na plan za 2023. godinu zbog većih ostvarenih prihoda</w:t>
      </w:r>
      <w:r w:rsidR="00762CB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koji su utrošeni u nabavku uredske opreme i namještaja.</w:t>
      </w:r>
    </w:p>
    <w:p w14:paraId="662A485E" w14:textId="77777777" w:rsidR="00E657AD" w:rsidRPr="00164A41" w:rsidRDefault="00E657AD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 43 – Ostali prihodi za posebne namjene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 </w:t>
      </w:r>
      <w:r w:rsidR="00A52FE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od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prihod</w:t>
      </w:r>
      <w:r w:rsidR="00A52FEC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 roditelja i prihod</w:t>
      </w:r>
      <w:r w:rsidR="00A52FEC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 djelatnika za topli obrok rashodi su ostvareni u iznosu od 326.074,59 eura i čine </w:t>
      </w:r>
      <w:r w:rsidR="000022B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110,10% godišnjeg plana a odnose se na rashode za zaposlene u iznosu od 123.388,00 eura</w:t>
      </w:r>
      <w:r w:rsidR="0058479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</w:t>
      </w:r>
      <w:r w:rsidR="000022B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materijalne rashode u iznosu od 202.686,59 eura</w:t>
      </w:r>
      <w:r w:rsidR="00762CB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 Rashodi su veći za 10,10% u odnosu na plan za 2023. godinu zbog više ostvarenih vlastitih prihoda koji su utrošeni u veće izdatke za namirnice i potrošni materijal</w:t>
      </w:r>
      <w:r w:rsidR="00E907F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7F273009" w14:textId="77777777" w:rsidR="004173F3" w:rsidRPr="00164A41" w:rsidRDefault="00320B25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 52 – Ostale pomoći –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su ostvareni u iznosu od 621.899,53 eura i čine 100,95% godišnjeg plana.</w:t>
      </w:r>
      <w:r w:rsidR="002B3F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1D6ACD12" w14:textId="77777777" w:rsidR="004173F3" w:rsidRPr="00164A41" w:rsidRDefault="00271945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Iz s</w:t>
      </w:r>
      <w:r w:rsidR="00A5487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redst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A5487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va </w:t>
      </w:r>
      <w:r w:rsidR="002B3F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Općine Lovran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B3F6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rashodi se odnose na rashode za zaposlene u iznosu od 470.992,00 eura, materijalne rashode</w:t>
      </w:r>
      <w:r w:rsidR="007A367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96.246,00 eura i rashode za nabavu nefinancijske imovine u iznosu od 6.636,00 eura. Rashodi iz izvora 52 (sredstva Općine Lovran) odnose se na </w:t>
      </w:r>
      <w:r w:rsidR="001F315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rashode za zaposlene u vrtiću Lovran, materijalne rashode za vrtić </w:t>
      </w:r>
      <w:r w:rsidR="005E04F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Lovran u postotku od 70% zbog učešća Grada Opatije u financiranju djece s područja Grada Opatije, a rashodi za zaposlene koji se donose na stručne službe i adm</w:t>
      </w:r>
      <w:r w:rsidR="000B14E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="005E04F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nistrativno-računovodstvene službe na </w:t>
      </w:r>
      <w:r w:rsidR="00AC1734">
        <w:rPr>
          <w:rFonts w:ascii="Times New Roman" w:hAnsi="Times New Roman" w:cs="Times New Roman"/>
          <w:noProof/>
          <w:sz w:val="24"/>
          <w:szCs w:val="24"/>
          <w:lang w:eastAsia="hr-HR"/>
        </w:rPr>
        <w:t>razini</w:t>
      </w:r>
      <w:r w:rsidR="005E04F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Ustanove financiraju se 30% iz sredstava Općine Lovran.</w:t>
      </w:r>
      <w:r w:rsidR="00862D8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iz </w:t>
      </w:r>
      <w:r w:rsidR="00A5487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="00862D8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zvora 52 – Općina Lovran ostvareni su sukladno planu.</w:t>
      </w:r>
      <w:r w:rsidR="00A5487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2549F280" w14:textId="77777777" w:rsidR="00320B25" w:rsidRPr="00164A41" w:rsidRDefault="00271945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Iz s</w:t>
      </w:r>
      <w:r w:rsidR="004173F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redst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4173F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va Ministarstva znanosti i obrazovanja</w:t>
      </w:r>
      <w:r w:rsidR="002B36B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se odnose </w:t>
      </w:r>
      <w:r w:rsidR="007E2CB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na rashode za potrošni materijal za program predškole u iznosu od 3.369,60 eura, na rashode za sitan inventar – </w:t>
      </w:r>
      <w:r w:rsidR="00D429D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didaktički materijal</w:t>
      </w:r>
      <w:r w:rsidR="007E2CB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program za djecu pripadnike Talijanske nacionalne manjine </w:t>
      </w:r>
      <w:r w:rsidR="008E141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iznosu od 3.534,00 eura te na rashode za </w:t>
      </w:r>
      <w:r w:rsidR="0059439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didaktički materijal</w:t>
      </w:r>
      <w:r w:rsidR="008E141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stručno usavršavanje zaposlenika za djecu s posebnim potrebama</w:t>
      </w:r>
      <w:r w:rsidR="00C07A1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2.968,00 eura</w:t>
      </w:r>
      <w:r w:rsidR="008E141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F1590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iz izvora 52 – Minist</w:t>
      </w:r>
      <w:r w:rsidR="002F468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arstvo</w:t>
      </w:r>
      <w:r w:rsidR="00F1590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znanosti i obrazovanja veći su u odnosu na plan za 2023. godinu za 32,34% zbog više dobivenih sredstava koja su potrošena </w:t>
      </w:r>
      <w:r w:rsidR="005E074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na provedbu </w:t>
      </w:r>
      <w:r w:rsidR="00F1590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program</w:t>
      </w:r>
      <w:r w:rsidR="005E074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F1590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20E8CC81" w14:textId="77777777" w:rsidR="008A5832" w:rsidRPr="00164A41" w:rsidRDefault="004F2F1C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 </w:t>
      </w:r>
      <w:r w:rsidR="00A2595B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="008B620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redst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8B620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va Općine Matulji (sufinanciranje vrtića) rashodi se odnose na materijal i sirovine u iznosu od 1.532,93. Rashodi </w:t>
      </w:r>
      <w:r w:rsidR="009A5C9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 izvora 52 – Općina Matulji </w:t>
      </w:r>
      <w:r w:rsidR="008B620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su veći u odnosu na plan jer sredstva</w:t>
      </w:r>
      <w:r w:rsidR="00A245D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8B620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nisu bila planirana.</w:t>
      </w:r>
    </w:p>
    <w:p w14:paraId="1DFA2697" w14:textId="77777777" w:rsidR="00B90F14" w:rsidRPr="00164A41" w:rsidRDefault="00A2595B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Iz s</w:t>
      </w:r>
      <w:r w:rsidR="00D867B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redst</w:t>
      </w:r>
      <w:r w:rsidR="00B43239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D867B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va Državnog proračuna za fiskalnu održivost dječjih vrtića rashodi se odnose na rashode za zaposlene u iznosu od 36.621,00 eura i veći su za 5,57% zbog više dobivenih sredstava koja su utrošena. </w:t>
      </w:r>
    </w:p>
    <w:p w14:paraId="20A72B66" w14:textId="77777777" w:rsidR="002C1B44" w:rsidRDefault="0084063F" w:rsidP="007F4FE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Izvor 61 – Ostale donacije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– </w:t>
      </w:r>
      <w:r w:rsidR="0008359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rashodi su ostvareni u iznosu od 12.704,83 eura i čine 160,27</w:t>
      </w:r>
      <w:r w:rsidR="009F465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</w:t>
      </w:r>
      <w:r w:rsidR="0008359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godišnjeg plana. P</w:t>
      </w:r>
      <w:r w:rsidR="00317BE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rene</w:t>
      </w:r>
      <w:r w:rsidR="000A6CF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="00317BE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ena sredstva iz 2022. godine – donacija Gittone Kvarner d</w:t>
      </w:r>
      <w:r w:rsidR="00E0617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317BE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E0617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317BE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 u iznosu od 4.999,57 eura utrošena je u nabavku računalne opreme za urede i odgojno – obrazovne 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skupine.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</w:t>
      </w:r>
      <w:r w:rsidR="00317BE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onacije iz 2023. 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su</w:t>
      </w:r>
      <w:r w:rsidR="00361D56">
        <w:rPr>
          <w:rFonts w:ascii="Times New Roman" w:hAnsi="Times New Roman" w:cs="Times New Roman"/>
          <w:noProof/>
          <w:sz w:val="24"/>
          <w:szCs w:val="24"/>
          <w:lang w:eastAsia="hr-HR"/>
        </w:rPr>
        <w:t>: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donacija </w:t>
      </w:r>
      <w:r w:rsidR="006F2D4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Talijanske Unije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2.625,26 eura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utrošena je u nabavku namještaja u iznosu od 655,00 eura i sitnog inventara – </w:t>
      </w:r>
      <w:r w:rsidR="003F784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didaktičk</w:t>
      </w:r>
      <w:r w:rsidR="00E33EA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og</w:t>
      </w:r>
      <w:r w:rsidR="003F784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materijal</w:t>
      </w:r>
      <w:r w:rsidR="00E33EA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1.970,26 eura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donacija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Foto </w:t>
      </w:r>
      <w:r w:rsidR="004C5B6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Luigi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80,00 eura 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utrošena je u nabavku </w:t>
      </w:r>
      <w:r w:rsidR="00C419D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didaktičkog materijala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 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donacija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Gitone Kvarner d</w:t>
      </w:r>
      <w:r w:rsidR="004172C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4172C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 u iznosu od 5.000,00 eura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utrošena je u namještaj i računaln</w:t>
      </w:r>
      <w:r w:rsidR="00B10CE2">
        <w:rPr>
          <w:rFonts w:ascii="Times New Roman" w:hAnsi="Times New Roman" w:cs="Times New Roman"/>
          <w:noProof/>
          <w:sz w:val="24"/>
          <w:szCs w:val="24"/>
          <w:lang w:eastAsia="hr-HR"/>
        </w:rPr>
        <w:t>u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oprem</w:t>
      </w:r>
      <w:r w:rsidR="00B10CE2">
        <w:rPr>
          <w:rFonts w:ascii="Times New Roman" w:hAnsi="Times New Roman" w:cs="Times New Roman"/>
          <w:noProof/>
          <w:sz w:val="24"/>
          <w:szCs w:val="24"/>
          <w:lang w:eastAsia="hr-HR"/>
        </w:rPr>
        <w:t>u</w:t>
      </w:r>
      <w:r w:rsidR="00FF0D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odgojno – obrazovne skupine.</w:t>
      </w:r>
      <w:r w:rsidR="00522CA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su veći za 60,27% u odnosu na plan za 2023. godinu zbog više dobivenih donacija.</w:t>
      </w:r>
    </w:p>
    <w:p w14:paraId="4838B8E7" w14:textId="77777777" w:rsidR="007F4FE3" w:rsidRPr="00164A41" w:rsidRDefault="007F4FE3" w:rsidP="007F4FE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31A4F62" w14:textId="77777777" w:rsidR="0066025E" w:rsidRPr="00164A41" w:rsidRDefault="002C1B44" w:rsidP="007F4FE3">
      <w:pPr>
        <w:spacing w:before="120" w:after="0" w:line="240" w:lineRule="auto"/>
        <w:ind w:left="1536" w:firstLine="96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RASHODI PREMA FUNKCIJSKOJ KLAIFIKACIJI</w:t>
      </w:r>
    </w:p>
    <w:tbl>
      <w:tblPr>
        <w:tblW w:w="10381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559"/>
        <w:gridCol w:w="1276"/>
        <w:gridCol w:w="1450"/>
      </w:tblGrid>
      <w:tr w:rsidR="002C1B44" w:rsidRPr="00164A41" w14:paraId="51F4097C" w14:textId="77777777" w:rsidTr="002C1B44">
        <w:trPr>
          <w:trHeight w:val="7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37CB" w14:textId="77777777" w:rsidR="002C1B44" w:rsidRPr="00164A41" w:rsidRDefault="002C1B44" w:rsidP="002C1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54BE" w14:textId="77777777" w:rsidR="002C1B44" w:rsidRPr="00164A41" w:rsidRDefault="002C1B44" w:rsidP="002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C95F" w14:textId="77777777" w:rsidR="002C1B44" w:rsidRPr="00164A41" w:rsidRDefault="002C1B44" w:rsidP="002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453C" w14:textId="77777777" w:rsidR="002C1B44" w:rsidRPr="00164A41" w:rsidRDefault="002C1B44" w:rsidP="002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F539" w14:textId="77777777" w:rsidR="002C1B44" w:rsidRPr="00164A41" w:rsidRDefault="002C1B44" w:rsidP="002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 2023/2022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129" w14:textId="77777777" w:rsidR="002C1B44" w:rsidRPr="00164A41" w:rsidRDefault="002C1B44" w:rsidP="002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 Izvršenje/Plan</w:t>
            </w:r>
          </w:p>
        </w:tc>
      </w:tr>
      <w:tr w:rsidR="002C1B44" w:rsidRPr="00164A41" w14:paraId="10BDE423" w14:textId="77777777" w:rsidTr="002C1B44">
        <w:trPr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0DA" w14:textId="77777777" w:rsidR="002C1B44" w:rsidRPr="00164A41" w:rsidRDefault="002C1B44" w:rsidP="002C1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26C3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    2.511.834,99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F031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    2.780.276,00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4A1C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    2.809.943,88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0ADC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111,86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68F8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101,0</w:t>
            </w:r>
            <w:r w:rsidR="00DB68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2C1B44" w:rsidRPr="00164A41" w14:paraId="34E157A2" w14:textId="77777777" w:rsidTr="002C1B44">
        <w:trPr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D7DF" w14:textId="77777777" w:rsidR="002C1B44" w:rsidRPr="00164A41" w:rsidRDefault="002C1B44" w:rsidP="002C1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78F4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    2.511.834,99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F48B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    2.780.276,00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5268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    2.809.943,88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5EC8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111,86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A4A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101,0</w:t>
            </w:r>
            <w:r w:rsidR="00DB68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2C1B44" w:rsidRPr="00164A41" w14:paraId="565464F6" w14:textId="77777777" w:rsidTr="002C1B44">
        <w:trPr>
          <w:trHeight w:val="5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B805" w14:textId="77777777" w:rsidR="002C1B44" w:rsidRPr="00164A41" w:rsidRDefault="002C1B44" w:rsidP="002C1B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6D4F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 xml:space="preserve">    2.511.834,99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5335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 xml:space="preserve">    2.780.276,00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D41F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 xml:space="preserve">    2.809.943,88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820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111,86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575" w14:textId="77777777" w:rsidR="002C1B44" w:rsidRPr="00164A41" w:rsidRDefault="002C1B44" w:rsidP="002C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164A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101,0</w:t>
            </w:r>
            <w:r w:rsidR="00E0284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</w:tbl>
    <w:p w14:paraId="7EB218B1" w14:textId="77777777" w:rsidR="00AB0418" w:rsidRDefault="00AB0418" w:rsidP="00E966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164A41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lastRenderedPageBreak/>
        <w:t>OBRAZLOŽENJE POSEBNOG DIJELA FINANCIJSKOG PLANA</w:t>
      </w:r>
    </w:p>
    <w:p w14:paraId="116A2AA6" w14:textId="27F3A2E3" w:rsidR="00E96643" w:rsidRDefault="00E96643" w:rsidP="00E966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8BC941D" w14:textId="77777777" w:rsidR="00BC4CB3" w:rsidRPr="00E96643" w:rsidRDefault="00BC4CB3" w:rsidP="00E966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1098"/>
        <w:gridCol w:w="812"/>
        <w:gridCol w:w="3006"/>
        <w:gridCol w:w="1444"/>
        <w:gridCol w:w="1288"/>
        <w:gridCol w:w="994"/>
        <w:gridCol w:w="607"/>
        <w:gridCol w:w="945"/>
      </w:tblGrid>
      <w:tr w:rsidR="00C7622D" w:rsidRPr="00960F39" w14:paraId="40ACECE1" w14:textId="77777777" w:rsidTr="00C7622D">
        <w:trPr>
          <w:trHeight w:val="288"/>
        </w:trPr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30F2EEF5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DJEČJI VRTIĆ OPATIJA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72C5FFDF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30F60A2B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69F0ECB5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5AB5DAD5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D98F99E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60F39" w:rsidRPr="00960F39" w14:paraId="67FFD62E" w14:textId="77777777" w:rsidTr="00C7622D">
        <w:trPr>
          <w:trHeight w:val="408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45083C58" w14:textId="77777777" w:rsidR="00960F39" w:rsidRPr="00DB56B1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DB56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Izvršenje Proračuna za razdoblje 01.01. do 31.12.2023.</w:t>
            </w:r>
          </w:p>
        </w:tc>
      </w:tr>
      <w:tr w:rsidR="00C7622D" w:rsidRPr="00960F39" w14:paraId="326CA121" w14:textId="77777777" w:rsidTr="00C7622D">
        <w:trPr>
          <w:trHeight w:val="156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5CC89739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165E50DB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3B50B1A8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21BC5A8B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51EA382C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2179DA3C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5AB5F900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21E609A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C7622D" w:rsidRPr="00960F39" w14:paraId="1BB3C855" w14:textId="77777777" w:rsidTr="00C7622D">
        <w:trPr>
          <w:trHeight w:val="288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0C6E36C6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II. POSEBNI DIO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7B37FDDA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2E128FAE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191EC6E0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4CC04FD9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08C414D2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5F7FB9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C7622D" w:rsidRPr="00960F39" w14:paraId="726168A3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B191C79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D66459D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7899B50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5180888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460C1349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84CB51B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11CCA1A1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</w:t>
            </w:r>
          </w:p>
        </w:tc>
      </w:tr>
      <w:tr w:rsidR="00C7622D" w:rsidRPr="00960F39" w14:paraId="02D5FA49" w14:textId="77777777" w:rsidTr="00C7622D">
        <w:trPr>
          <w:trHeight w:val="62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14:paraId="1DF83C8A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14:paraId="57372F68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vAlign w:val="bottom"/>
            <w:hideMark/>
          </w:tcPr>
          <w:p w14:paraId="7B22883D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UO ZA FINANCIJE I DRUŠTVENE DJELATNOSTI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14:paraId="76D175BB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2.780.276,00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14:paraId="5C9E8496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2.809.943,88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14:paraId="48515FDC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101,07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14:paraId="74D74DF1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 </w:t>
            </w:r>
          </w:p>
        </w:tc>
      </w:tr>
      <w:tr w:rsidR="00C7622D" w:rsidRPr="00960F39" w14:paraId="1919C9C7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14:paraId="65EF6D00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14:paraId="2D3598D5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14:paraId="7C34E935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30996-DJEČJI VRTIĆ OPATIJA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14:paraId="14E3A18C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2.780.276,00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14:paraId="7BB9451B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2.809.943,88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14:paraId="0D9D276E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101,07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FA8EB"/>
            <w:noWrap/>
            <w:vAlign w:val="bottom"/>
            <w:hideMark/>
          </w:tcPr>
          <w:p w14:paraId="60FE5BEF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 </w:t>
            </w:r>
          </w:p>
        </w:tc>
      </w:tr>
      <w:tr w:rsidR="00C7622D" w:rsidRPr="00960F39" w14:paraId="0A9FCE3E" w14:textId="77777777" w:rsidTr="00C7622D">
        <w:trPr>
          <w:trHeight w:val="50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7F4"/>
            <w:noWrap/>
            <w:vAlign w:val="bottom"/>
            <w:hideMark/>
          </w:tcPr>
          <w:p w14:paraId="0D5E84A1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F4"/>
            <w:noWrap/>
            <w:vAlign w:val="bottom"/>
            <w:hideMark/>
          </w:tcPr>
          <w:p w14:paraId="7E12C3D7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2010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F4"/>
            <w:vAlign w:val="bottom"/>
            <w:hideMark/>
          </w:tcPr>
          <w:p w14:paraId="30F00784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JAVNE POTREBE U PREDŠKOLSKOM ODGOJU I OBRAZ.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F4"/>
            <w:noWrap/>
            <w:vAlign w:val="bottom"/>
            <w:hideMark/>
          </w:tcPr>
          <w:p w14:paraId="035D28E6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2.780.276,00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F4"/>
            <w:noWrap/>
            <w:vAlign w:val="bottom"/>
            <w:hideMark/>
          </w:tcPr>
          <w:p w14:paraId="27F6C025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2.809.943,88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F4"/>
            <w:noWrap/>
            <w:vAlign w:val="bottom"/>
            <w:hideMark/>
          </w:tcPr>
          <w:p w14:paraId="403614F2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101,07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CE7F4"/>
            <w:noWrap/>
            <w:vAlign w:val="bottom"/>
            <w:hideMark/>
          </w:tcPr>
          <w:p w14:paraId="75CE6905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1C51CEF4" w14:textId="77777777" w:rsidTr="00C7622D">
        <w:trPr>
          <w:trHeight w:val="52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FB7E9E1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942FE9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A201011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8FEC8F2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OSNOVNI PROGRAM PREDŠKOLSKOG ODGOJA I OBRAZOVANJA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16FDACE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2.645.122,00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B2A0A72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2.663.372,48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6DF89B0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100,69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38B1E959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538C73E0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D3565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6137F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D6C4A2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237FE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2.039.300,00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AED81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2.039.831,24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264CB9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95A2D66" w14:textId="77777777" w:rsidR="00960F39" w:rsidRPr="00960F39" w:rsidRDefault="00960F39" w:rsidP="009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960F39" w:rsidRPr="00960F39" w14:paraId="58AC016B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63FB3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A25F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00961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4933E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1.517.244,00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BCE3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1.518.086,55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84AF9" w14:textId="77777777" w:rsidR="00960F39" w:rsidRPr="00960F39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10BB2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A9251" w14:textId="77777777" w:rsidR="00960F39" w:rsidRPr="00960F39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60F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06A85DB1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577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31C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101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FA6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967.722,00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43C4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966.629,55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871D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99,89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4120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91D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1B567FC2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F037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43CC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D5F2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934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34.686,00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367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36.621,00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6056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105,58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9BF1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E50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Ost.po.DP</w:t>
            </w:r>
          </w:p>
        </w:tc>
      </w:tr>
      <w:tr w:rsidR="00C7622D" w:rsidRPr="00960F39" w14:paraId="240FE20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081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200,1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4748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AAF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BCB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357.153,00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A36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357.153,00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E880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6283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0FF5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46B0FF08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F0D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200,2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C24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8EF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283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107.142,00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6BBD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107.142,00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0FF67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0617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811D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Besp.b.11</w:t>
            </w:r>
          </w:p>
        </w:tc>
      </w:tr>
      <w:tr w:rsidR="00C7622D" w:rsidRPr="00960F39" w14:paraId="6C263D3D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4A9E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200,9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CE2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F495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E729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50.541,00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E3C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50.541,00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5D3E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E901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C07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39EE90D6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84D5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CBA8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D3C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D04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268.426,00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32D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268.424,79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B2B77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5693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F93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1315F49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38E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197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71C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863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201.707,00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9D0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201.705,79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4216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1C41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D244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22CF2C19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611B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60E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7C0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E6A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54.925,00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45C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54.925,00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4894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2466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85D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0CF8A65C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B8E4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201,2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1EE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7E5E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ADA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11.794,00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21CB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11.794,00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3373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A8D4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E8A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Besp.b.11</w:t>
            </w:r>
          </w:p>
        </w:tc>
      </w:tr>
      <w:tr w:rsidR="00C7622D" w:rsidRPr="00960F39" w14:paraId="058AC9A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D58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6D8D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A65E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5EF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253.630,00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8D4B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253.319,90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63AB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99,88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65E9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628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49D4DD07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D16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866C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BD9C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Doprinosi za zdrastveno osiguranje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857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169.671,00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706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169.360,90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771C2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99,82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EF49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B74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47CEFEA1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3A0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202,1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C1E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1D74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355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58.914,00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2F91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58.914,00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B5FB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E4DB2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67C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5397CFDD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B4F5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202,2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8E5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CD1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Doprinosi za zdrastveno osiguranje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858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16.706,00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B50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16.706,00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ED83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931D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9F2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Besp.b.11</w:t>
            </w:r>
          </w:p>
        </w:tc>
      </w:tr>
      <w:tr w:rsidR="00C7622D" w:rsidRPr="00960F39" w14:paraId="672B4B16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3C8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202,9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1E4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FFA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DD94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8.339,00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09B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8.339,00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3008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7504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473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5702FCAD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C89D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1112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C4F1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376E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604.949,00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6642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622.717,26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CDD26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102,94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0DEBA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7040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7358CB4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5B2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CCF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A26B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Nalnade troškova zaposlenima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BFF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84.679,00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B11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79.758,65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94A6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94,19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6ECE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A9A2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1C766C52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EEA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8B4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E9A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AB9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2.124,00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95F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2.124,00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E7FE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4D599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06A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7E6A9D5D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40F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204,1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CA0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520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9BED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A123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9D45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32FC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6F1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7B7EFD1F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EFD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204,9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237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3DB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F1B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60D6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3.962,15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E380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99,05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7990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04B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75E3B698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940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F36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BF1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C94D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46.146,00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6106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41.591,01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14B7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90,13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9DA1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0A2D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6834E131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D0A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1F5E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96B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C225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22.651,00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DA71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22.651,00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EF3A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5CAD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2B7D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62B9E1AD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0065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326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CB51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C04E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4.582,00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3F73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4.505,53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EE94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98,33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7C71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D08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67DCF6DC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3A11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206,1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695E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2073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1D8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6A0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8924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020F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14B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299FED6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73BF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4A87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702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1937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1.858,00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FA0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1.606,96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F729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86,49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B77E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38E1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5049E76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DCA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2061,1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8163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9E9B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FD3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7BB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875F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1786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65F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3B8F4B9A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B5A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B43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0437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5A3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363.314,00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C0F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396.661,07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61E3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109,18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23DA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444C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228BD74B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2D7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0CB8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CD4B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90C5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43.002,00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C86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43.002,00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45DA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AA78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3B7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429B2AA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F2A8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207,2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F4B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573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0C18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146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115D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EFCC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4D9F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1A2C0C71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2D8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207,3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59F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D14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60AE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23.563,00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FFC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22.944,83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13FC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97,38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97DB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8414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54584B72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61CE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207,4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7E5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959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48E5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6.105,00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6245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6.105,00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BD951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0D91F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495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Besp.b.11</w:t>
            </w:r>
          </w:p>
        </w:tc>
      </w:tr>
      <w:tr w:rsidR="00C7622D" w:rsidRPr="00960F39" w14:paraId="428231A1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412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lastRenderedPageBreak/>
              <w:t>207,5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6A4B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175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DDF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D39C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2D5F9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98EF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0C9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Besp.b.11</w:t>
            </w:r>
          </w:p>
        </w:tc>
      </w:tr>
      <w:tr w:rsidR="00C7622D" w:rsidRPr="00960F39" w14:paraId="24283E43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B93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207,9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4B8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4E6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DA1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ACE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12.626,40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30B5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7A26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E75C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1E70E9E9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95F5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207,98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6B2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E6D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0D11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33.814,00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283D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33.815,22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8040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F5A3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739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VP-kor.11</w:t>
            </w:r>
          </w:p>
        </w:tc>
      </w:tr>
      <w:tr w:rsidR="00C7622D" w:rsidRPr="00960F39" w14:paraId="58C7C032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58F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207,99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282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2EB7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FE2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128.108,00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90F8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151.114,34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5CDC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117,96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4A21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034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3313889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177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90F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3D6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613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E33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1.532,93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7120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B1D8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006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2FF99368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E72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56C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C09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AB9E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53.345,00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4EA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49.397,04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8029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92,60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7E4A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6C7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2B10DCC6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BA9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208,1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53C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ABF9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578D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19.311,00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ADBA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19.311,00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96AF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847C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D89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5EFB632D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545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208,2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9B71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C28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33CC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6.505,00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ED38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6.505,00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53E4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3F78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AA9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Besp.b.11</w:t>
            </w:r>
          </w:p>
        </w:tc>
      </w:tr>
      <w:tr w:rsidR="00C7622D" w:rsidRPr="00960F39" w14:paraId="6B256FC8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8A1C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2D60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FE9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F99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FC2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935A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DBD8F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FC71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0DB348C0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2EF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209,1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7A9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ABEA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128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551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5B52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3B80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74E4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2D8E601F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956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D42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9AA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C31C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38B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1CE3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2089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BAE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305FD6E8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4DF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210,1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F7B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B15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A8A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C18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21E6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3F84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A15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0DCF023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5A9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210,9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658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7E6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1FC3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099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A115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7EE4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CF20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75CFB126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C15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F98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BB93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Sitni inventar i auto gume(DIDAKTA)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CFCF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AFD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1.991,21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5F85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3D38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7B4C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5BDBB36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C041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21011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638A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3FE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Sitni inventar i auto gume(DIDAKTA)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7E5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D2B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5FED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2D269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1F9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5E913775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F590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83C9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A144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Sitan inventar i auto gume (DIDAKTA)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897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8.285,00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B7C9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8.627,01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8597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104,13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D208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471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VP-kor.11</w:t>
            </w:r>
          </w:p>
        </w:tc>
      </w:tr>
      <w:tr w:rsidR="00C7622D" w:rsidRPr="00960F39" w14:paraId="75857ABB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6D0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20790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8F9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421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Sitni inventar i auto gume-donacija Tal.unija,Foto Luigi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48D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D7F6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2.050,26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D72D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124,79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BE64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AD1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Don.kor.11</w:t>
            </w:r>
          </w:p>
        </w:tc>
      </w:tr>
      <w:tr w:rsidR="00C7622D" w:rsidRPr="00960F39" w14:paraId="3690B9E3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470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210,11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A5F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282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47F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7.698,00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D85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7.694,83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8821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99,96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44A5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56B4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1AA34393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1D6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D85F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8098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428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120.704,00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E2D3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110.951,01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8CB4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91,92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C37C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330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0CC1A62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227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9F9D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21D6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99C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9.852,00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5AE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8.743,60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780A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88,75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E796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3BB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52E1B0BF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F7CC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3E0D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5C1F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F188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3.053,00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50F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3.053,00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887C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D819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217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644B4AA7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5E4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FAA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A995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ADC2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29.199,00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B95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25.790,15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18F2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88,33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E8C0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37B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529166D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E23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212,1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B03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36B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1DE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45E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B0CE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BE81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AE4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7253877B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2C41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9372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52DE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D2B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56E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1.526,77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15D4B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76,68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F898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568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59F4B2C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5EF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D99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8585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7C3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23.174,00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208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23.053,50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EACB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99,48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5E7F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BAA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23E9799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E1D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214,1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6F0B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514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03F9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A1C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20BB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721D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638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6526AA07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F17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214,2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04B3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3AFD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946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3.052,00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8C4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3.052,00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1B37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DCC5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6159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Besp.b.11</w:t>
            </w:r>
          </w:p>
        </w:tc>
      </w:tr>
      <w:tr w:rsidR="00C7622D" w:rsidRPr="00960F39" w14:paraId="160DA8F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B1A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F93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F664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2EEA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867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4.607,32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5382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69,43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72CF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4FDE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6FFAA37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C78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216,1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5DA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1CB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AAF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C9C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2F2F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00E55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507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2E66D46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16C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A46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17C2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A64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17.333,00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AED6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14.976,16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A2229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86,40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14FDA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B58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268A59E3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4D2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217,1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C150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804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325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0ECC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8587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6ED0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F66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18839349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72C6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217,2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94E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5D2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3597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2.624,00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2D6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2.623,32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7B0E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99,97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A3C8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B9C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 xml:space="preserve"> Opći pr.</w:t>
            </w:r>
          </w:p>
        </w:tc>
      </w:tr>
      <w:tr w:rsidR="00C7622D" w:rsidRPr="00960F39" w14:paraId="0312905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0D6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CA62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AE9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9B11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2.156,00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CDB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1.891,19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11C41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87,72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C501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62D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7199F275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7AA6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218,2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FAA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A85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6C24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7734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8F77E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81A2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05BA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7F7E3C03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760F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1A3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DF5A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74D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36.252,00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056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35.346,53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9D07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97,50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FED2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DAC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32AFDE16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4DF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958A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A903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Naknade za rad pred. i izvršnih tijela, povjer. i sl.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E1B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5.531,00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1681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5.527,68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23E6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99,94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1A4C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381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55537FAD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B9C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219,1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BB3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287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Naknade za rad pred. i izvršnih tijela, povjer. i sl.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A1DE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1.128,00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AAB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1.128,00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7F8B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C649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908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402CF50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5EF6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D4CC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67E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DB3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AB3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21.123,77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70A3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99,47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094E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84D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4C09F065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FD9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220,1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6C1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166D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3916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54C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A8A5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A3E5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75E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06ABCAA3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830B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27D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158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9E59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A7E6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662,87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FB1A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49,95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FEA2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7A04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0DAC4206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8DB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E1EF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A4C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1ED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E37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A5A1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4FF23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D09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13D3A7A9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A6F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045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3B9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323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1.296,00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803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1.197,21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2352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92,38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D6F4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308C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0C200CE3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3C62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222,1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86A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F05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BD3E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3BC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A381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700E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9A3D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30D05230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B0B6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124F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3FA9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0303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873,00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5A56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823,98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D69BC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94,38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23392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552DF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2BD7E695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DAF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4CA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DC5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AD6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873,00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EEB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823,98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8689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94,38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297E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EB7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37C3F4ED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BE5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4E6A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771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ADE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647,00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77F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619,09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D769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95,69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BE86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BE4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3AC489F5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EBF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223,1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4EBC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106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3D9B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5E6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3BCE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202A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286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0CBF71AA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D43D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223,3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1302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25B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782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637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5,89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0546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21,81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3C54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C2A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04AE850F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7836F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lastRenderedPageBreak/>
              <w:t>Aktivnost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E0672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A201013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E25EC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POSEBNI PROGRAMI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5B75D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110.614,00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C4F97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113.026,60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11A26EA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102,18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1F7C715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13BFB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54AD8582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33F0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6D52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CF81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55A0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73.313,00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C6F3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73.313,00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D2E67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E1706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2DAB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216AC95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9CC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3BE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432C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E8C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62.930,00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B67D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62.930,00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AC65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813B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65A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58FD98E0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BE98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935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4673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BD8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7.558,00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64C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7.558,00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F92B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B6D1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D3B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7C6B99CB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A63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228,39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B417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BD9A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EBC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55.372,00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565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55.372,00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1E72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FEAEC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8EE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3028BDDE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0B7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A9E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7B3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5E9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10.383,00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F1F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10.383,00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EB83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EE88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8FB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16F546EC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8CBA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228,4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D0D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A0E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546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9.136,00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936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9.136,00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1129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1FBF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C5B3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41945C13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86B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7F5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CA95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3C0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1.247,00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FE48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1.247,00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FEE8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EB42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AA8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7B8DEC69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D21B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42B8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681D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F8D3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37.301,00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A344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39.713,60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65515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106,47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EDD7D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D074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5F1A73BF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3777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41A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A8F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Naknada troškova zaposlenima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C4C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3.997,00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962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3.997,00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76FE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C59F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528C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01C518E8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403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228,7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7C2B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6CC6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CCB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7140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902B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96DE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582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167B41D9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210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228,6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3B0A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E0B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9414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2.634,00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DE0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2.634,00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7134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C2E4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B08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60E0CD88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9D46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228,8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8AE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C643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5BB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24C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3504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B0B1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F2D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7FB05B1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CE8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6511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992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C4F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Stručno usavršavanje zaposlenika (djeca s teškoćama)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DF00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19A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DD37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7489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97F9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OP-kor.12</w:t>
            </w:r>
          </w:p>
        </w:tc>
      </w:tr>
      <w:tr w:rsidR="00C7622D" w:rsidRPr="00960F39" w14:paraId="57E99EDF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1A4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0EE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BBB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2DE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33.304,00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6A32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35.716,60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E9CB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107,24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DCD4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DF4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64541EC2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BE2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207,1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CF48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D42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B29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2.442,00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BC1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3.369,60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FECF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137,99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02BBA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2CD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3C00342A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D7B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228,9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35C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439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62DD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19.929,00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0C5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19.929,00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8410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3275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A3716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SC-kor.11</w:t>
            </w:r>
          </w:p>
        </w:tc>
      </w:tr>
      <w:tr w:rsidR="00C7622D" w:rsidRPr="00960F39" w14:paraId="2F71361A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DFBA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2289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4CE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1C2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BCA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6.616,00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9E1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6.616,00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804D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E8B3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9D9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Opći pr.</w:t>
            </w:r>
          </w:p>
        </w:tc>
      </w:tr>
      <w:tr w:rsidR="00C7622D" w:rsidRPr="00960F39" w14:paraId="163FEE7A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5416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3B4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ED0D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Sitni inventar i auto gume(dj.s teškoćama)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8A9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1.848,00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E10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2.268,00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9B46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122,73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A3B1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8D3B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1B0CC5BB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789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651,1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050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261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Sitni inventar i auto gume(za dj.nacion.manjina)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570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2.469,00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2D8D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3.534,00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4E78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143,13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1F2F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2C2E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25472D57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40A634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8FC4E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K201015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80D203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KAPITALNA ULAGANJA U OPREMU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05BAF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24.540,00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E29BE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33.544,80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A84B92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136,69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0BFCFC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92F17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36E14E95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32FC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CE8F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144D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B878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24.540,00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C586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33.544,80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D8778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136,69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6D751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1DC6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0F9B646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8B02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C69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245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Po</w:t>
            </w:r>
            <w:r w:rsidR="00534071"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s</w:t>
            </w: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trojenja i oprema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028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23.146,00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7E8D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32.157,85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CD2C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138,93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FF9FC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078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2EE44A80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198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231,3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620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93E8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196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2.483,00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A44E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2.480,23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18D9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99,89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1742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1F30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Prod.imov.</w:t>
            </w:r>
          </w:p>
        </w:tc>
      </w:tr>
      <w:tr w:rsidR="00C7622D" w:rsidRPr="00960F39" w14:paraId="402587E0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AE1E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0BE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088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606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900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D431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4C95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CB1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OP-kor.11</w:t>
            </w:r>
          </w:p>
        </w:tc>
      </w:tr>
      <w:tr w:rsidR="00C7622D" w:rsidRPr="00960F39" w14:paraId="11465355" w14:textId="77777777" w:rsidTr="00C7622D">
        <w:trPr>
          <w:trHeight w:val="3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77A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  <w:t>23101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C8B3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4D50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  <w:t>Uredska oprema i namještaj-donacija Gitone,Tal.unija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566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5588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  <w:t>5655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11159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35DE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6F15E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hr-HR"/>
              </w:rPr>
              <w:t>Don.kor.11</w:t>
            </w:r>
          </w:p>
        </w:tc>
      </w:tr>
      <w:tr w:rsidR="00C7622D" w:rsidRPr="00960F39" w14:paraId="0E9F5341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8F7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23102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87D50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23C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Uredska oprema i namještaj-PS donacija Gitone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631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275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4.999,57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556F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99,99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559C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102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Don.kor.11</w:t>
            </w:r>
          </w:p>
        </w:tc>
      </w:tr>
      <w:tr w:rsidR="00C7622D" w:rsidRPr="00960F39" w14:paraId="1DEF509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9A92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23110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DE8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4100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B9A49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1.715,00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A8A9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5.075,05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43CF8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295,92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3B5DC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48281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VP-kor.11</w:t>
            </w:r>
          </w:p>
        </w:tc>
      </w:tr>
      <w:tr w:rsidR="00C7622D" w:rsidRPr="00960F39" w14:paraId="587BFEF4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2FCB6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2311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756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05D4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5C5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4.762,00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F9E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4.762,00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515B3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E3FA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E7E5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Prod.imov.</w:t>
            </w:r>
          </w:p>
        </w:tc>
      </w:tr>
      <w:tr w:rsidR="00C7622D" w:rsidRPr="00960F39" w14:paraId="2BAFD428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AA6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231,4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65AD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76B4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C659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2.550,00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BB3A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2.550,00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087F7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0E67B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E5B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Prod.imov.</w:t>
            </w:r>
          </w:p>
        </w:tc>
      </w:tr>
      <w:tr w:rsidR="00C7622D" w:rsidRPr="00960F39" w14:paraId="08436B45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D63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44CB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CB6D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910D4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1.394,00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77525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1.386,95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60E5F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hr-HR"/>
              </w:rPr>
              <w:t>99,49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204CB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8EA7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 </w:t>
            </w:r>
          </w:p>
        </w:tc>
      </w:tr>
      <w:tr w:rsidR="00C7622D" w:rsidRPr="00960F39" w14:paraId="3E8518BB" w14:textId="77777777" w:rsidTr="00C7622D">
        <w:trPr>
          <w:trHeight w:val="28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FE4D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23121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8757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1DBA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2BA1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1.394,00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AF2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1.386,95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1778E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99,49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45202" w14:textId="77777777" w:rsidR="00960F39" w:rsidRPr="00534071" w:rsidRDefault="00960F39" w:rsidP="0096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439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053F" w14:textId="77777777" w:rsidR="00960F39" w:rsidRPr="00534071" w:rsidRDefault="00960F39" w:rsidP="00960F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</w:pPr>
            <w:r w:rsidRPr="005340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hr-HR"/>
              </w:rPr>
              <w:t>Prod.imov.</w:t>
            </w:r>
          </w:p>
        </w:tc>
      </w:tr>
    </w:tbl>
    <w:p w14:paraId="1312856B" w14:textId="77777777" w:rsidR="00943917" w:rsidRDefault="00943917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8951849" w14:textId="77777777" w:rsidR="00960F39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AD18E20" w14:textId="77777777" w:rsidR="00960F39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744620C9" w14:textId="77777777" w:rsidR="00960F39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164C3F1" w14:textId="77777777" w:rsidR="00960F39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51BDD761" w14:textId="77777777" w:rsidR="00960F39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7AFC947A" w14:textId="77777777" w:rsidR="00960F39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6D91045" w14:textId="77777777" w:rsidR="00960F39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343BDE7D" w14:textId="77777777" w:rsidR="00BD12D9" w:rsidRPr="00164A41" w:rsidRDefault="00BD12D9" w:rsidP="00960F39">
      <w:pPr>
        <w:spacing w:before="120"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tbl>
      <w:tblPr>
        <w:tblW w:w="104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992"/>
        <w:gridCol w:w="993"/>
        <w:gridCol w:w="992"/>
        <w:gridCol w:w="1134"/>
        <w:gridCol w:w="1134"/>
        <w:gridCol w:w="1134"/>
        <w:gridCol w:w="1065"/>
      </w:tblGrid>
      <w:tr w:rsidR="00BD12D9" w:rsidRPr="00164A41" w14:paraId="5E4FC85C" w14:textId="77777777" w:rsidTr="00BD12D9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D33E3E" w14:textId="77777777" w:rsidR="00BD12D9" w:rsidRPr="00164A41" w:rsidRDefault="00BD12D9" w:rsidP="002135A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lastRenderedPageBreak/>
              <w:t>R.B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07D2BF" w14:textId="77777777" w:rsidR="00BD12D9" w:rsidRPr="00164A41" w:rsidRDefault="00BD12D9" w:rsidP="0021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NAZIV PROGRAMA/</w:t>
            </w:r>
          </w:p>
          <w:p w14:paraId="0D2CDDE7" w14:textId="77777777" w:rsidR="00BD12D9" w:rsidRPr="00164A41" w:rsidRDefault="00BD12D9" w:rsidP="002135A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8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49ABC8" w14:textId="77777777" w:rsidR="00BD12D9" w:rsidRPr="00164A41" w:rsidRDefault="00BD12D9" w:rsidP="002135A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hr-HR"/>
              </w:rPr>
              <w:t>IZVORI FINANCIRANJA</w:t>
            </w:r>
          </w:p>
        </w:tc>
      </w:tr>
      <w:tr w:rsidR="00BD12D9" w:rsidRPr="00164A41" w14:paraId="6367B0FA" w14:textId="77777777" w:rsidTr="00BD12D9">
        <w:trPr>
          <w:trHeight w:val="5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C64DCF" w14:textId="77777777" w:rsidR="00BD12D9" w:rsidRPr="00164A41" w:rsidRDefault="00BD12D9" w:rsidP="002135A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A3D69E" w14:textId="77777777" w:rsidR="00BD12D9" w:rsidRPr="00164A41" w:rsidRDefault="00BD12D9" w:rsidP="002135A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F6D2BC4" w14:textId="77777777" w:rsidR="00BD12D9" w:rsidRPr="00164A41" w:rsidRDefault="00BD12D9" w:rsidP="002135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  <w:p w14:paraId="6A34B2CD" w14:textId="77777777" w:rsidR="00BD12D9" w:rsidRPr="00164A41" w:rsidRDefault="00BD12D9" w:rsidP="0021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  <w:p w14:paraId="02BC4FF2" w14:textId="77777777" w:rsidR="00BD12D9" w:rsidRPr="00164A41" w:rsidRDefault="00BD12D9" w:rsidP="0021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VLASTTIT PRIHODI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D53B8DB" w14:textId="77777777" w:rsidR="00BD12D9" w:rsidRPr="00164A41" w:rsidRDefault="00BD12D9" w:rsidP="002135A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  <w:p w14:paraId="5FE7570A" w14:textId="77777777" w:rsidR="00BD12D9" w:rsidRPr="00164A41" w:rsidRDefault="00BD12D9" w:rsidP="002135A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OPĆINA LOVRAN</w:t>
            </w:r>
          </w:p>
          <w:p w14:paraId="49031548" w14:textId="77777777" w:rsidR="00BD12D9" w:rsidRPr="00164A41" w:rsidRDefault="00BD12D9" w:rsidP="002135A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MINT ZNANOSTI I OBRAZOVANJA</w:t>
            </w:r>
          </w:p>
          <w:p w14:paraId="165442FA" w14:textId="77777777" w:rsidR="00BD12D9" w:rsidRPr="00164A41" w:rsidRDefault="00BD12D9" w:rsidP="002135A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DRŽAVNI PRORAČUN</w:t>
            </w:r>
          </w:p>
          <w:p w14:paraId="399A1FCD" w14:textId="77777777" w:rsidR="00BD12D9" w:rsidRPr="00164A41" w:rsidRDefault="00BD12D9" w:rsidP="002135A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8C2D10A" w14:textId="77777777" w:rsidR="00BD12D9" w:rsidRPr="00164A41" w:rsidRDefault="00BD12D9" w:rsidP="0021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  <w:p w14:paraId="14DA571C" w14:textId="77777777" w:rsidR="00BD12D9" w:rsidRPr="00164A41" w:rsidRDefault="00BD12D9" w:rsidP="0021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  <w:p w14:paraId="174C84EC" w14:textId="77777777" w:rsidR="00BD12D9" w:rsidRPr="00164A41" w:rsidRDefault="00BD12D9" w:rsidP="0021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GRAD OPATIJA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0A9A" w14:textId="77777777" w:rsidR="00BD12D9" w:rsidRPr="00164A41" w:rsidRDefault="00BD12D9" w:rsidP="002135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hr-HR"/>
              </w:rPr>
              <w:t>UKUPNO</w:t>
            </w:r>
          </w:p>
        </w:tc>
      </w:tr>
      <w:tr w:rsidR="00BD12D9" w:rsidRPr="00164A41" w14:paraId="3831B268" w14:textId="77777777" w:rsidTr="00BD12D9">
        <w:trPr>
          <w:trHeight w:val="41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FD4A8D" w14:textId="77777777" w:rsidR="00BD12D9" w:rsidRPr="00164A41" w:rsidRDefault="00BD12D9" w:rsidP="002135A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1D3FE" w14:textId="77777777" w:rsidR="00BD12D9" w:rsidRPr="00164A41" w:rsidRDefault="00BD12D9" w:rsidP="002135A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B022" w14:textId="77777777" w:rsidR="00BD12D9" w:rsidRPr="00164A41" w:rsidRDefault="00BD12D9" w:rsidP="002135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  <w:p w14:paraId="2747E1AB" w14:textId="77777777" w:rsidR="00BD12D9" w:rsidRPr="00164A41" w:rsidRDefault="00BD12D9" w:rsidP="002135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BA92462" w14:textId="77777777" w:rsidR="00BD12D9" w:rsidRPr="00164A41" w:rsidRDefault="00BD12D9" w:rsidP="0021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14:paraId="72E56D1C" w14:textId="77777777" w:rsidR="00BD12D9" w:rsidRPr="00164A41" w:rsidRDefault="00BD12D9" w:rsidP="0021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Izvršenje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7BD23" w14:textId="77777777" w:rsidR="00BD12D9" w:rsidRPr="00164A41" w:rsidRDefault="00BD12D9" w:rsidP="00213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  <w:p w14:paraId="663FCC31" w14:textId="77777777" w:rsidR="00BD12D9" w:rsidRPr="00164A41" w:rsidRDefault="00BD12D9" w:rsidP="0021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8963E5" w14:textId="77777777" w:rsidR="00BD12D9" w:rsidRPr="00164A41" w:rsidRDefault="00BD12D9" w:rsidP="0021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14:paraId="09CA17D8" w14:textId="77777777" w:rsidR="00BD12D9" w:rsidRPr="00164A41" w:rsidRDefault="00BD12D9" w:rsidP="002135A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Izvršenje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01702B" w14:textId="77777777" w:rsidR="00BD12D9" w:rsidRPr="00164A41" w:rsidRDefault="00BD12D9" w:rsidP="002135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  <w:p w14:paraId="3738EC07" w14:textId="77777777" w:rsidR="00BD12D9" w:rsidRPr="00164A41" w:rsidRDefault="00BD12D9" w:rsidP="002135A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DC38A2F" w14:textId="77777777" w:rsidR="00BD12D9" w:rsidRPr="00164A41" w:rsidRDefault="00BD12D9" w:rsidP="0021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14:paraId="7198E50B" w14:textId="77777777" w:rsidR="00BD12D9" w:rsidRPr="00164A41" w:rsidRDefault="00BD12D9" w:rsidP="002135A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Izvršenje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CB23" w14:textId="77777777" w:rsidR="00BD12D9" w:rsidRPr="00164A41" w:rsidRDefault="00BD12D9" w:rsidP="002135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  <w:p w14:paraId="0758C62D" w14:textId="77777777" w:rsidR="00BD12D9" w:rsidRPr="00164A41" w:rsidRDefault="00BD12D9" w:rsidP="002135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5242" w14:textId="77777777" w:rsidR="00BD12D9" w:rsidRPr="00164A41" w:rsidRDefault="00BD12D9" w:rsidP="002135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14:paraId="5ADBAABB" w14:textId="77777777" w:rsidR="00BD12D9" w:rsidRPr="00164A41" w:rsidRDefault="00BD12D9" w:rsidP="002135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Izvršenje</w:t>
            </w:r>
          </w:p>
        </w:tc>
      </w:tr>
      <w:tr w:rsidR="00BD12D9" w:rsidRPr="00164A41" w14:paraId="09A5D52B" w14:textId="77777777" w:rsidTr="00BD12D9">
        <w:trPr>
          <w:trHeight w:val="872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961DE4" w14:textId="77777777" w:rsidR="00BD12D9" w:rsidRPr="00164A41" w:rsidRDefault="00BD12D9" w:rsidP="002135A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059310" w14:textId="77777777" w:rsidR="00BD12D9" w:rsidRPr="00164A41" w:rsidRDefault="00BD12D9" w:rsidP="002135AA">
            <w:pPr>
              <w:spacing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Program 2010 - Javne potrebe u predškolskom odgoju i obrazovanju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E7A17C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341.604,00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2ACF43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386.296,70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268A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616.019,00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F956E0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621.899,53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868193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1.822.653,00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25D910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1.801.747,65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0533FA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2.780.276,00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A7A65C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2.809.943,88</w:t>
            </w:r>
          </w:p>
        </w:tc>
      </w:tr>
      <w:tr w:rsidR="00BD12D9" w:rsidRPr="00164A41" w14:paraId="6FA622A9" w14:textId="77777777" w:rsidTr="00BD12D9">
        <w:trPr>
          <w:trHeight w:val="634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EF7982" w14:textId="77777777" w:rsidR="00BD12D9" w:rsidRPr="00164A41" w:rsidRDefault="00BD12D9" w:rsidP="002135A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1.1.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15547B" w14:textId="77777777" w:rsidR="00BD12D9" w:rsidRPr="00164A41" w:rsidRDefault="00BD12D9" w:rsidP="002135AA">
            <w:pPr>
              <w:spacing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 xml:space="preserve">Aktivnost A201011 - Osnovni (redovni) program predškolskog odgoja i obrazovanja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56CDDF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247.155,00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24C007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282.833,08</w:t>
            </w:r>
          </w:p>
          <w:p w14:paraId="19E7821F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8DDE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601.924,00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8A56BD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605.391,93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2E6960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1.796,043,00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8D641D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1.775.147,47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467704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bookmarkStart w:id="2" w:name="_Hlk159238273"/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2.645.122,00</w:t>
            </w:r>
            <w:bookmarkEnd w:id="2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509D0F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2.663.372,48</w:t>
            </w:r>
          </w:p>
        </w:tc>
      </w:tr>
      <w:tr w:rsidR="00BD12D9" w:rsidRPr="00164A41" w14:paraId="5C88492E" w14:textId="77777777" w:rsidTr="00BD12D9">
        <w:trPr>
          <w:trHeight w:val="1223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8CA1E8" w14:textId="77777777" w:rsidR="00BD12D9" w:rsidRPr="00164A41" w:rsidRDefault="00BD12D9" w:rsidP="002135A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1.2.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2C2C81" w14:textId="77777777" w:rsidR="00BD12D9" w:rsidRPr="00164A41" w:rsidRDefault="00BD12D9" w:rsidP="002135AA">
            <w:pPr>
              <w:spacing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Aktivnost A201013 - Posebni programi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427EF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87.734,00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CB1DA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87.734,00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AA3F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7.459,00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63199D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9.871,60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DA7701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15.421,00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14021C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15.421,00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1AE1B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110.614,00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A13C03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113.026,60</w:t>
            </w:r>
          </w:p>
        </w:tc>
      </w:tr>
      <w:tr w:rsidR="00BD12D9" w:rsidRPr="00164A41" w14:paraId="091E3308" w14:textId="77777777" w:rsidTr="00BD12D9">
        <w:trPr>
          <w:trHeight w:val="246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6C60EB" w14:textId="77777777" w:rsidR="00BD12D9" w:rsidRPr="00164A41" w:rsidRDefault="00BD12D9" w:rsidP="002135A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1.3.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CF1733" w14:textId="77777777" w:rsidR="00BD12D9" w:rsidRPr="00164A41" w:rsidRDefault="00BD12D9" w:rsidP="002135AA">
            <w:pPr>
              <w:spacing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Aktivnost K201015 - Kapitalna ulaganja u opremu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B9D4DE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6.715,00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84495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15.729,62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CC3D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371E46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91334D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11.189,00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6A02F1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11.179,18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F9597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24.540,00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1AAAFB" w14:textId="77777777" w:rsidR="00BD12D9" w:rsidRPr="00164A41" w:rsidRDefault="00BD12D9" w:rsidP="00213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</w:pPr>
            <w:r w:rsidRPr="00164A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hr-HR"/>
              </w:rPr>
              <w:t>33.544,80</w:t>
            </w:r>
          </w:p>
        </w:tc>
      </w:tr>
    </w:tbl>
    <w:p w14:paraId="66987732" w14:textId="77777777" w:rsidR="007A6510" w:rsidRPr="00164A41" w:rsidRDefault="007A6510" w:rsidP="000F1B7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21A956" w14:textId="77777777" w:rsidR="00AB0418" w:rsidRPr="00164A41" w:rsidRDefault="009A6BC4" w:rsidP="00483F6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redstva za rad i provođenje Programa predškolskog odgoja i obrazovanja – Program 2010  u okviru kojeg su planirane sljedeće aktivnosti: Aktivnost A201011 – Osnovni (redovni) program predškolskog odgoja i obrazovanja, Aktivnost A201013 - Posebni program, </w:t>
      </w:r>
      <w:bookmarkStart w:id="3" w:name="_Hlk148358093"/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Aktivnost K201015 </w:t>
      </w:r>
      <w:bookmarkEnd w:id="3"/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– Kapitalna ulaganja u opremu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 planirana su Financijskim planom za 2023. godinu, Rebalansima I. i II. Fin</w:t>
      </w:r>
      <w:r w:rsidR="00483F6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94624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n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cijskog plana za 2023. godinu te preraspodjelom sredstava Proračuna i vlastitih prihoda.</w:t>
      </w:r>
      <w:r w:rsidR="00483F6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Obuhvaćaju ukupne izdatke za zaposlene i materijalne troškove te nabavku nefinancijske imovine. Izvršenje Financijskog plana za 2023. godinu veće je u odnosu na plan za </w:t>
      </w:r>
      <w:r w:rsidR="00D9213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1,0</w:t>
      </w:r>
      <w:r w:rsidR="00C26573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="00D9213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% a zbog viših materijalnih rashoda te viših rashoda za nabavu nefinancijske imovine.</w:t>
      </w:r>
    </w:p>
    <w:p w14:paraId="6069F87F" w14:textId="77777777" w:rsidR="00D92138" w:rsidRPr="00164A41" w:rsidRDefault="00D92138" w:rsidP="00E27C0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C6EF914" w14:textId="5FCD26F8" w:rsidR="00AB0418" w:rsidRPr="00164A41" w:rsidRDefault="00AB0418" w:rsidP="00E27C07">
      <w:pPr>
        <w:pStyle w:val="BodyText3"/>
        <w:numPr>
          <w:ilvl w:val="0"/>
          <w:numId w:val="23"/>
        </w:numPr>
        <w:spacing w:after="0"/>
        <w:jc w:val="both"/>
        <w:rPr>
          <w:noProof/>
          <w:sz w:val="24"/>
          <w:szCs w:val="24"/>
        </w:rPr>
      </w:pPr>
      <w:r w:rsidRPr="00164A41">
        <w:rPr>
          <w:b/>
          <w:noProof/>
          <w:sz w:val="24"/>
          <w:szCs w:val="24"/>
          <w:lang w:eastAsia="hr-HR"/>
        </w:rPr>
        <w:t xml:space="preserve"> </w:t>
      </w:r>
      <w:r w:rsidRPr="00164A41">
        <w:rPr>
          <w:b/>
          <w:noProof/>
          <w:sz w:val="28"/>
          <w:szCs w:val="28"/>
          <w:lang w:eastAsia="hr-HR"/>
        </w:rPr>
        <w:t>Aktivnost A201011 - Osnovni program predškolskog odgoja i obrazovanja</w:t>
      </w:r>
      <w:r w:rsidRPr="00164A41">
        <w:rPr>
          <w:noProof/>
          <w:sz w:val="24"/>
          <w:szCs w:val="24"/>
          <w:lang w:eastAsia="hr-HR"/>
        </w:rPr>
        <w:t xml:space="preserve"> obuhvaća stvaranje i osiguravanje uvjeta za brigu i skrb djece predškolske dobi provođenjem programa njege, odgoja i obrazovanja, zdravstvene zaštite, prehrane i socijalne skrbi kao i integracije djece s posebnim potrebama u svim objektima Vrtića (Opatija, Lovran, Volosko, Ičići, Veprinac</w:t>
      </w:r>
      <w:bookmarkStart w:id="4" w:name="_GoBack"/>
      <w:bookmarkEnd w:id="4"/>
      <w:r w:rsidRPr="00164A41">
        <w:rPr>
          <w:noProof/>
          <w:sz w:val="24"/>
          <w:szCs w:val="24"/>
          <w:lang w:eastAsia="hr-HR"/>
        </w:rPr>
        <w:t>).</w:t>
      </w:r>
    </w:p>
    <w:p w14:paraId="2856560C" w14:textId="77777777" w:rsidR="00E06A4E" w:rsidRPr="00164A41" w:rsidRDefault="00E06A4E" w:rsidP="00E06A4E">
      <w:pPr>
        <w:pStyle w:val="BodyText3"/>
        <w:spacing w:after="0"/>
        <w:jc w:val="both"/>
        <w:rPr>
          <w:noProof/>
          <w:sz w:val="24"/>
          <w:szCs w:val="24"/>
        </w:rPr>
      </w:pPr>
    </w:p>
    <w:p w14:paraId="132FE5C6" w14:textId="77777777" w:rsidR="00FB4589" w:rsidRPr="00164A41" w:rsidRDefault="00AB0418" w:rsidP="00FB45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Planirana sredstva za provođenje osnovnog programa u </w:t>
      </w:r>
      <w:r w:rsidR="00423CFA" w:rsidRPr="008916AE">
        <w:rPr>
          <w:rFonts w:ascii="Times New Roman" w:hAnsi="Times New Roman" w:cs="Times New Roman"/>
          <w:noProof/>
          <w:sz w:val="24"/>
          <w:szCs w:val="24"/>
          <w:lang w:eastAsia="hr-HR"/>
        </w:rPr>
        <w:t>2023</w:t>
      </w:r>
      <w:r w:rsidR="00423CFA" w:rsidRPr="00164A41">
        <w:rPr>
          <w:noProof/>
          <w:sz w:val="24"/>
          <w:szCs w:val="24"/>
          <w:lang w:eastAsia="hr-HR"/>
        </w:rPr>
        <w:t>.</w:t>
      </w: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iznose </w:t>
      </w:r>
      <w:r w:rsidR="00FB458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2.645.122,00</w:t>
      </w:r>
      <w:r w:rsidR="00FB4589" w:rsidRPr="00164A41">
        <w:rPr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eura i obuhvaćaju ukupne izdatke za zaposlene i materijalne </w:t>
      </w:r>
      <w:r w:rsidRPr="00E33543">
        <w:rPr>
          <w:rFonts w:ascii="Times New Roman" w:hAnsi="Times New Roman" w:cs="Times New Roman"/>
          <w:noProof/>
          <w:sz w:val="24"/>
          <w:szCs w:val="24"/>
          <w:lang w:eastAsia="hr-HR"/>
        </w:rPr>
        <w:t>troškove</w:t>
      </w:r>
      <w:r w:rsidR="00FB4589" w:rsidRPr="00E3354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realizirana su u iznosu od 2.663</w:t>
      </w:r>
      <w:r w:rsidR="00FB458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.372,48 eura, odnosno 0,6</w:t>
      </w:r>
      <w:r w:rsidR="002C0DB5">
        <w:rPr>
          <w:rFonts w:ascii="Times New Roman" w:hAnsi="Times New Roman" w:cs="Times New Roman"/>
          <w:noProof/>
          <w:sz w:val="24"/>
          <w:szCs w:val="24"/>
          <w:lang w:eastAsia="hr-HR"/>
        </w:rPr>
        <w:t>9</w:t>
      </w:r>
      <w:r w:rsidR="00FB458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% više od godišnjeg plana zbog većih izdataka za materijalne troškove</w:t>
      </w:r>
      <w:r w:rsidR="00053E6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što je financirano iz više ostvarenih vlastitih prihoda (prihodi od roditelja).</w:t>
      </w:r>
    </w:p>
    <w:p w14:paraId="2F8EA77C" w14:textId="77777777" w:rsidR="00AB0418" w:rsidRPr="00164A41" w:rsidRDefault="00AB0418" w:rsidP="00E27C07">
      <w:pPr>
        <w:pStyle w:val="BodyText3"/>
        <w:spacing w:after="0"/>
        <w:jc w:val="both"/>
        <w:rPr>
          <w:noProof/>
          <w:sz w:val="24"/>
          <w:szCs w:val="24"/>
        </w:rPr>
      </w:pPr>
    </w:p>
    <w:p w14:paraId="0EBC0FA0" w14:textId="19B82668" w:rsidR="00555F2F" w:rsidRPr="00164A41" w:rsidRDefault="00555F2F" w:rsidP="00C74A1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 sredstva Grada </w:t>
      </w:r>
      <w:r w:rsidR="00EB6D6D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patije, Općine Lovran, Državnog proračuna i Vlastitih prihoda od 01.01. – 31.08.2023. izdaci se odnose: </w:t>
      </w:r>
    </w:p>
    <w:p w14:paraId="5FB01CDA" w14:textId="77777777" w:rsidR="00555F2F" w:rsidRPr="00164A41" w:rsidRDefault="00C74A13" w:rsidP="00C74A13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2EE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6</w:t>
      </w:r>
      <w:r w:rsidR="00857C8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0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odgojitelja</w:t>
      </w:r>
      <w:r w:rsidR="0012098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(42 odgojitelja u 10 satnom programu – 21 odgojnih skupina, 4 odgojitelja u 10 satnom programu na talijanskom jeziku za pripadnike talijanske nacionalne manjine – 2 odgojne skupine, </w:t>
      </w:r>
      <w:r w:rsidR="00B8752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9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odgojitelj u </w:t>
      </w:r>
      <w:r w:rsidR="00B8752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10 i 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5,5 satnom programu – </w:t>
      </w:r>
      <w:r w:rsidR="00B8752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odgojn</w:t>
      </w:r>
      <w:r w:rsidR="00B8752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skupin</w:t>
      </w:r>
      <w:r w:rsidR="00B8752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e </w:t>
      </w:r>
      <w:r w:rsidR="00044F6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od čega su </w:t>
      </w:r>
      <w:r w:rsidR="00B8752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3 odgojitelja za djecu s TUR – om a </w:t>
      </w:r>
      <w:r w:rsidR="00B8752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t>od 15.05.2023 su 2 odgojitelja i 1 pomoćnik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 3 odgojitelja u 10-satnom programu – smjenski rad u Opatiji</w:t>
      </w:r>
      <w:r w:rsidR="00EA245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1 odgojna skupina</w:t>
      </w:r>
      <w:r w:rsidR="00044F6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 2 odgojitelja u 5,5 satnom programu – 2 odgojne skupine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)</w:t>
      </w:r>
    </w:p>
    <w:p w14:paraId="024FCC16" w14:textId="77777777" w:rsidR="00555F2F" w:rsidRPr="00164A41" w:rsidRDefault="00C74A13" w:rsidP="00C74A13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2EE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29 djelatnika tehničke službe (</w:t>
      </w:r>
      <w:r w:rsidR="00F467B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kućna majstora, </w:t>
      </w:r>
      <w:r w:rsidR="00F467B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1 kućni majstor/zaštita na radu, 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 pralje, 10,5 kuharica, 12,5 spremačica),</w:t>
      </w:r>
    </w:p>
    <w:p w14:paraId="4A552941" w14:textId="77777777" w:rsidR="00555F2F" w:rsidRPr="00164A41" w:rsidRDefault="00C74A13" w:rsidP="00C74A13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2EE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6 djelatnika stručne službe koju čine ravnatelj, pedagog, psiholog, edukacijski </w:t>
      </w:r>
      <w:r w:rsidR="00AA2BA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rehabilitator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 logoped, zdravstveni voditelj</w:t>
      </w:r>
    </w:p>
    <w:p w14:paraId="401C8479" w14:textId="77777777" w:rsidR="00555F2F" w:rsidRPr="00164A41" w:rsidRDefault="00C74A13" w:rsidP="00C74A13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2EE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4 djelatnika računovodstveno-administrativne službe koju čine voditelj računovodstva, administrativno-računovodstveni djelatnik, administrator</w:t>
      </w:r>
      <w:r w:rsidR="00470EF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(od 01.08.2023.)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tajnik. </w:t>
      </w:r>
    </w:p>
    <w:p w14:paraId="2112E8FB" w14:textId="77777777" w:rsidR="00555F2F" w:rsidRPr="00164A41" w:rsidRDefault="00555F2F" w:rsidP="00E27C07">
      <w:pPr>
        <w:pStyle w:val="BodyText3"/>
        <w:spacing w:after="0"/>
        <w:jc w:val="both"/>
        <w:rPr>
          <w:noProof/>
          <w:sz w:val="24"/>
          <w:szCs w:val="24"/>
        </w:rPr>
      </w:pPr>
    </w:p>
    <w:p w14:paraId="6D80A28C" w14:textId="77777777" w:rsidR="00AB0418" w:rsidRPr="00164A41" w:rsidRDefault="00AB0418" w:rsidP="00C74A1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Iz sredst</w:t>
      </w:r>
      <w:r w:rsidR="00A562C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va 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Grada </w:t>
      </w:r>
      <w:r w:rsidR="003B238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555F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patije, Općine Lovran, Državnog proračuna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Vlastitih prihoda od 01.0</w:t>
      </w:r>
      <w:r w:rsidR="00ED3B5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9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 – 31.</w:t>
      </w:r>
      <w:r w:rsidR="00ED3B5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12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.202</w:t>
      </w:r>
      <w:r w:rsidR="00ED3B5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 izdaci se odnose</w:t>
      </w:r>
      <w:r w:rsidR="00F705A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:</w:t>
      </w:r>
    </w:p>
    <w:p w14:paraId="7AE8CBFE" w14:textId="77777777" w:rsidR="00AB0418" w:rsidRPr="00164A41" w:rsidRDefault="00306083" w:rsidP="00306083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F3003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6</w:t>
      </w:r>
      <w:r w:rsidR="005D15A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0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odgojitelja i 3 pomoćnika ( 5</w:t>
      </w:r>
      <w:r w:rsidR="005D15A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0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odgojitelja i 3 pomoćnika u 10 satnom programu – 25 odgojnih skupina, 4 odgojitelja u 10 satnom programu na talijanskom jeziku za pripadnike talijanske nacionalne manjine – 2 odgojne skupine, 1 odgojitelj u 5,5 satnom programu – 1 odgojna skupina, 3 odgojitelja u 10-satnom programu – smjenski rad u Opatiji - 1 odgojna skupina, 2 odgojitelja kao stalna zamjena za kraća bolovanja)</w:t>
      </w:r>
    </w:p>
    <w:p w14:paraId="4FE6C848" w14:textId="77777777" w:rsidR="00AB0418" w:rsidRPr="00164A41" w:rsidRDefault="00306083" w:rsidP="00306083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F3003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29 djelatnika tehničke službe (4 kućna majstora, 2 pralje, 10,5 kuharica, 12,5 spremačica),</w:t>
      </w:r>
    </w:p>
    <w:p w14:paraId="639E597B" w14:textId="77777777" w:rsidR="00AB0418" w:rsidRPr="00164A41" w:rsidRDefault="00306083" w:rsidP="00306083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F3003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6 djelatnika stručne službe koju čine ravnatelj, pedagog, psiholog, edukacijski </w:t>
      </w:r>
      <w:r w:rsidR="004C6AF3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rehabilitator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 logoped, zdravstveni voditelj</w:t>
      </w:r>
    </w:p>
    <w:p w14:paraId="4CDBB008" w14:textId="77777777" w:rsidR="00955DE6" w:rsidRPr="00164A41" w:rsidRDefault="00432D46" w:rsidP="00955DE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F3003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4 djelatnika računovodstveno-administrativne službe koju čine voditelj računovodstva, administrativno-računovodstveni djelatnik, administrator i tajnik. </w:t>
      </w:r>
    </w:p>
    <w:p w14:paraId="22FCEF69" w14:textId="77777777" w:rsidR="00955DE6" w:rsidRPr="00164A41" w:rsidRDefault="00955DE6" w:rsidP="00955DE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C795414" w14:textId="77777777" w:rsidR="00AB0418" w:rsidRPr="00164A41" w:rsidRDefault="00955DE6" w:rsidP="00624B6B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Ukupni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izdaci za zaposlene u 202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.g. u osnovnom programu</w:t>
      </w:r>
      <w:r w:rsidR="003F514D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čine </w:t>
      </w:r>
      <w:r w:rsidR="003A10A8">
        <w:rPr>
          <w:rFonts w:ascii="Times New Roman" w:hAnsi="Times New Roman" w:cs="Times New Roman"/>
          <w:noProof/>
          <w:sz w:val="24"/>
          <w:szCs w:val="24"/>
          <w:lang w:eastAsia="hr-HR"/>
        </w:rPr>
        <w:t>100,03% godišnjeg plana i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obuhvaćaju: plaće djelatnika i naknade za prijevoz za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99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djelatnika  od 01.01.202</w:t>
      </w:r>
      <w:r w:rsidR="00B57F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 -  31.08.202</w:t>
      </w:r>
      <w:r w:rsidR="00B57F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 te 10</w:t>
      </w:r>
      <w:r w:rsidR="00B57F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djelatnika od 01.09.202</w:t>
      </w:r>
      <w:r w:rsidR="00B57F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 – 31.12.202</w:t>
      </w:r>
      <w:r w:rsidR="00B57F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. (odgojitelji, stručni tim, osoblje tehničkih službi,</w:t>
      </w:r>
      <w:r w:rsidR="00B2637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osoblje pravne i računovodstveno-administrativne službe), jubilarne nagrade za 1</w:t>
      </w:r>
      <w:r w:rsidR="006A663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djelatnika, poklon djeci za </w:t>
      </w:r>
      <w:r w:rsidR="008278D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67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djece, 3 otpremnine i </w:t>
      </w:r>
      <w:r w:rsidR="001B7C2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25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pomoći za djelatnike, nagrada za</w:t>
      </w:r>
      <w:r w:rsidR="00911A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radne rezultate za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112 djelatnika, poklon bon za Uskrs za 11</w:t>
      </w:r>
      <w:r w:rsidR="00EA31CC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djelatnika, regres za godišnji odmor</w:t>
      </w:r>
      <w:r w:rsidR="00911A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razmjerni dio regresa za 115 djelatnika, 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božićnica za 1</w:t>
      </w:r>
      <w:r w:rsidR="00911A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09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djelatnika, </w:t>
      </w:r>
      <w:r w:rsidR="003602F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naknada za topli obrok za 112 djelatnika.</w:t>
      </w:r>
      <w:r w:rsidR="00E428C2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B0418" w:rsidRPr="00164A41">
        <w:rPr>
          <w:rFonts w:ascii="Times New Roman" w:hAnsi="Times New Roman" w:cs="Times New Roman"/>
          <w:noProof/>
          <w:sz w:val="24"/>
          <w:szCs w:val="24"/>
        </w:rPr>
        <w:t xml:space="preserve">Planirani ukupni izdaci za zaposlene </w:t>
      </w:r>
      <w:r w:rsidR="00624B6B" w:rsidRPr="00164A41">
        <w:rPr>
          <w:rFonts w:ascii="Times New Roman" w:hAnsi="Times New Roman" w:cs="Times New Roman"/>
          <w:noProof/>
          <w:sz w:val="24"/>
          <w:szCs w:val="24"/>
        </w:rPr>
        <w:t>realizirani su prema planu za 2023. godinu te nema odstupanja</w:t>
      </w:r>
      <w:r w:rsidR="004A5428" w:rsidRPr="00164A4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59B614D" w14:textId="77777777" w:rsidR="00864DB4" w:rsidRPr="00164A41" w:rsidRDefault="00AB0418" w:rsidP="00864D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Materijalni troškovi</w:t>
      </w:r>
      <w:r w:rsidR="0038054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provedbu osnovnog programa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koji se financiraju se iz sredstava </w:t>
      </w:r>
      <w:r w:rsidR="00A42CC4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Grada Opatije, Općine Lovran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vlastitih prihoda </w:t>
      </w:r>
      <w:r w:rsidR="00827337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čine 102,94% godišnjeg plana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 odnose se na: troškove hrane – materijal i sirovina, energije, uredskog i ost</w:t>
      </w:r>
      <w:r w:rsidR="00713FB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alog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potrošnog materijala, komunalne usluge, intelektualne i osobne usluge, zdravstvene usluge ,usluge tekućeg i investicijskog održavanja, usluge telefona, pošte i prijevoza, materijala i dijelova za tekuće i investicijsko održavanje, </w:t>
      </w:r>
      <w:r w:rsidR="00713FB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didaktičkog materijala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sitnog inventara, usluge promidžbe i informiranja, službene i radne odjeće i obuće, stručnog usavršavanja zaposlenih, izdatke za sl. putovanja, ostale naknade za zaposlene, materijala i dijelova za tekuće održavanje, računalne usluge, ostale usluge, naknade za rad predst. i izvrš. tijela, računalne usluge, premije osiguranja veći su u odnosu na </w:t>
      </w:r>
      <w:r w:rsidR="0038054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plan za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2023. godinu zbog </w:t>
      </w:r>
      <w:r w:rsidR="0038054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većih izdataka za namirnice i ostali potrošni materijal (materijal za odgojno – obrazovne grupe i sredstva za čišćenje).</w:t>
      </w:r>
    </w:p>
    <w:p w14:paraId="24F09F3D" w14:textId="77777777" w:rsidR="00864DB4" w:rsidRPr="00164A41" w:rsidRDefault="00CB4D2E" w:rsidP="00864D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Ostvarenje materijalnih rashoda iz sredstava Grada Opatije manje je u donosu na plan a prema stvarnim potrebama poslovanja, dok su troškovi hrane i potrošnog materijala veći zbog poskupljenja cijena i veće potrošnje </w:t>
      </w:r>
      <w:r w:rsidR="00D60D0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što je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financiran</w:t>
      </w:r>
      <w:r w:rsidR="00D60D0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 vi</w:t>
      </w:r>
      <w:r w:rsidR="0072724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še ostvarenih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vlastitih sredstava</w:t>
      </w:r>
      <w:r w:rsidR="00B90481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(prihodi od roditelja).</w:t>
      </w:r>
    </w:p>
    <w:p w14:paraId="3E19BFF3" w14:textId="77777777" w:rsidR="00010892" w:rsidRPr="00164A41" w:rsidRDefault="00010892" w:rsidP="00864D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7CE5B07B" w14:textId="77777777" w:rsidR="00AB0418" w:rsidRPr="00164A41" w:rsidRDefault="00AB0418" w:rsidP="00BB1C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Ciljevi osnovnog programa su:</w:t>
      </w:r>
    </w:p>
    <w:p w14:paraId="12B04B68" w14:textId="77777777" w:rsidR="00AB0418" w:rsidRPr="00164A41" w:rsidRDefault="00AB0418" w:rsidP="00BB1C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osigurati maksimalni obuhvat djece u organiziranim programima vrtića i jaslica u skladu s važećom Odlukom o elementima standarda društvene brige o djeci predškolskog uzrasta iz 1983. godine i važećim Državnim pedagoškim standardima</w:t>
      </w:r>
    </w:p>
    <w:p w14:paraId="10499DD7" w14:textId="77777777" w:rsidR="00AB0418" w:rsidRPr="00164A41" w:rsidRDefault="00AB0418" w:rsidP="00BB1C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povećati kvalitetu provođenja odgojno-obrazovnog rada, programa </w:t>
      </w:r>
      <w:r w:rsidR="00373F3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njege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373F37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odgoja,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naobrazbe, zdravstvene zaštite, prehrane i socijalne skrbi djece</w:t>
      </w:r>
    </w:p>
    <w:p w14:paraId="7338F866" w14:textId="77777777" w:rsidR="00AB0418" w:rsidRPr="00164A41" w:rsidRDefault="00AB0418" w:rsidP="00BB1C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integracija (inkluzija) djece s posebnim potrebama u redovne programe, praćenje njihovih potreba te osiguravanje njihovog zadovoljavanja od strane odgojitelja, stručnog tima   </w:t>
      </w:r>
    </w:p>
    <w:p w14:paraId="6B9E6334" w14:textId="77777777" w:rsidR="00AB0418" w:rsidRPr="00164A41" w:rsidRDefault="00AB0418" w:rsidP="00BB1C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skrbiti kvalitetno koncipiranim kurikulumom ranog odgoja za sva područja djetetova razvoja poštujući prirodu učenja djeteta</w:t>
      </w:r>
    </w:p>
    <w:p w14:paraId="3650AF5D" w14:textId="77777777" w:rsidR="00AB0418" w:rsidRPr="00164A41" w:rsidRDefault="00AB0418" w:rsidP="00BB1C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t xml:space="preserve">prepoznavanje i praćenje sve djece te zadovoljavanje njihovih interesa i potreba  </w:t>
      </w:r>
    </w:p>
    <w:p w14:paraId="506444CC" w14:textId="77777777" w:rsidR="00AB0418" w:rsidRPr="00164A41" w:rsidRDefault="00AB0418" w:rsidP="00BB1C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kontinuirano upućivanje odgojno – obrazovnih djelatnika na organizirane oblike stručnog usavršavanja s ciljem implementacije novih znanja u praksu</w:t>
      </w:r>
    </w:p>
    <w:p w14:paraId="31B020EC" w14:textId="77777777" w:rsidR="00AB0418" w:rsidRPr="00164A41" w:rsidRDefault="00AB0418" w:rsidP="00BB1C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praćenje suradnje s drugim predškolskim ustanovama s ciljem unapređenja odgojno – obrazovnog rada</w:t>
      </w:r>
    </w:p>
    <w:p w14:paraId="4CEBDD44" w14:textId="77777777" w:rsidR="0035481F" w:rsidRPr="00164A41" w:rsidRDefault="00AB0418" w:rsidP="0035481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uključivanje u provođenje međunarodnih projekata</w:t>
      </w:r>
    </w:p>
    <w:p w14:paraId="0F946A40" w14:textId="77777777" w:rsidR="0035481F" w:rsidRPr="00164A41" w:rsidRDefault="0035481F" w:rsidP="0035481F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BBCC5FB" w14:textId="77777777" w:rsidR="0035481F" w:rsidRPr="00164A41" w:rsidRDefault="0035481F" w:rsidP="0035481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</w:rPr>
        <w:t>OBRAZLOŽENJE IZVRŠENJA OSNOVNOG PROGRAMA PREDŠKOLSKOG ODGOJA OD 01.01.2023. DO 31.12.2023.</w:t>
      </w:r>
    </w:p>
    <w:p w14:paraId="240418E2" w14:textId="77777777" w:rsidR="009465F8" w:rsidRPr="00164A41" w:rsidRDefault="009465F8" w:rsidP="009465F8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</w:rPr>
        <w:t xml:space="preserve">- </w:t>
      </w:r>
      <w:r w:rsidRPr="00164A41">
        <w:rPr>
          <w:rFonts w:ascii="Times New Roman" w:hAnsi="Times New Roman" w:cs="Times New Roman"/>
          <w:noProof/>
          <w:sz w:val="24"/>
          <w:szCs w:val="24"/>
        </w:rPr>
        <w:t>U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skladu s planom  stručnog usavršavanja izvršeno je stručno usavršavanje odgojitelja  </w:t>
      </w:r>
    </w:p>
    <w:p w14:paraId="4C3B62C1" w14:textId="77777777" w:rsidR="009465F8" w:rsidRPr="00164A41" w:rsidRDefault="009465F8" w:rsidP="009465F8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 Izvršena je nabava didaktičkog  materijala i </w:t>
      </w:r>
      <w:r w:rsidR="001356B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sitnog inventara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sve objekte vrtića</w:t>
      </w:r>
    </w:p>
    <w:p w14:paraId="1D4858FD" w14:textId="77777777" w:rsidR="009465F8" w:rsidRPr="00164A41" w:rsidRDefault="009465F8" w:rsidP="009465F8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 Osiguravan je raznovrsni potrošn</w:t>
      </w:r>
      <w:r w:rsidR="001356B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materijal za rad s djecom s ciljem razvijanja kreativnosti za sve odgojne skupine</w:t>
      </w:r>
    </w:p>
    <w:p w14:paraId="7B8A9156" w14:textId="77777777" w:rsidR="009465F8" w:rsidRPr="00164A41" w:rsidRDefault="009465F8" w:rsidP="009465F8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 Nabavljena je radna obuća i odjeće za sve djelatnike </w:t>
      </w:r>
    </w:p>
    <w:p w14:paraId="0DF68FA0" w14:textId="77777777" w:rsidR="009465F8" w:rsidRPr="00164A41" w:rsidRDefault="009465F8" w:rsidP="009465F8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 Isplaćene su plaće, naknade za prijevoz, i ostale naknade za zaposlene (jubilarne nagrade ,otpremnine, pomoći, dar djeci radnika, poklon djelatnicima, naknada za topli obrok, božićnica i regres za godišnji odmor) </w:t>
      </w:r>
    </w:p>
    <w:p w14:paraId="46F09882" w14:textId="77777777" w:rsidR="009465F8" w:rsidRPr="00164A41" w:rsidRDefault="009465F8" w:rsidP="009465F8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 Zdravstveni i sistematski pregledi djelatnika</w:t>
      </w:r>
    </w:p>
    <w:p w14:paraId="17179396" w14:textId="77777777" w:rsidR="009465F8" w:rsidRPr="00164A41" w:rsidRDefault="009465F8" w:rsidP="009465F8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 Plaćene su premije osiguranja vezane uz djelatnost, imovinu, djelatnike i djecu</w:t>
      </w:r>
    </w:p>
    <w:p w14:paraId="7E85AB98" w14:textId="77777777" w:rsidR="009465F8" w:rsidRPr="00164A41" w:rsidRDefault="009465F8" w:rsidP="009465F8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 Izvršena su redovita ispitivanja, mjerenja i kontrole vezane uz uvjete za siguran rad za sve objekte vrtića</w:t>
      </w:r>
    </w:p>
    <w:p w14:paraId="6914D8B5" w14:textId="77777777" w:rsidR="00121EF0" w:rsidRPr="00164A41" w:rsidRDefault="009465F8" w:rsidP="00121EF0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 Provodili su se razni projekati na razini odgojnih skupina, ustanove, te na drugim razinama (Grada  Opatije, Općine Lovran, Primorsko-goranske i Istarske županije, državne i međunarodne razine)</w:t>
      </w:r>
    </w:p>
    <w:p w14:paraId="5FCA8692" w14:textId="77777777" w:rsidR="009465F8" w:rsidRPr="00164A41" w:rsidRDefault="00121EF0" w:rsidP="00121EF0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9465F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Održavanje unutarnjih i vanjskih prostora</w:t>
      </w:r>
    </w:p>
    <w:p w14:paraId="779981AD" w14:textId="77777777" w:rsidR="009465F8" w:rsidRPr="00164A41" w:rsidRDefault="009465F8" w:rsidP="00121EF0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Unutarnji prostor: </w:t>
      </w:r>
      <w:r w:rsidR="00121EF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izvršeni su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popravci i servisi aparata, održavanje informatičke opreme, servisi klima uređaja, vatrogasnih aparata, dimnjačarske  usluge, održavanje kotlovnica, održavanje prostorija u kojima borave djeca </w:t>
      </w:r>
    </w:p>
    <w:p w14:paraId="5710C69A" w14:textId="77777777" w:rsidR="009465F8" w:rsidRPr="00164A41" w:rsidRDefault="009465F8" w:rsidP="00121EF0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Vanjski prostor: o</w:t>
      </w:r>
      <w:r w:rsidR="00121EF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državala se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oprem</w:t>
      </w:r>
      <w:r w:rsidR="00121EF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na vanjskom prostoru, dvorišta i okoliša svih objekta vrtića 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</w:p>
    <w:p w14:paraId="399FEC6B" w14:textId="77777777" w:rsidR="00D6475F" w:rsidRPr="00164A41" w:rsidRDefault="00921B4A" w:rsidP="00D6475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D3F3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121EF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</w:t>
      </w:r>
      <w:r w:rsidR="009465F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ključiva</w:t>
      </w:r>
      <w:r w:rsidR="00D11B2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lo</w:t>
      </w:r>
      <w:r w:rsidR="009465F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manifestacije ovog kraja s ciljem njegovanja narodnih običaja i tradicije (Marunada Lovran, Markova Veprinac, </w:t>
      </w:r>
      <w:r w:rsidR="009465F8" w:rsidRPr="00164A41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t>Mića ribarska fešta Ičići, Karnevalske povorke Opatija i Lovran</w:t>
      </w:r>
      <w:r w:rsidR="0018386B" w:rsidRPr="00164A41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t>, 15. Festival Kamelija</w:t>
      </w:r>
      <w:r w:rsidR="009465F8" w:rsidRPr="00164A41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t>)</w:t>
      </w:r>
    </w:p>
    <w:p w14:paraId="473DA2FB" w14:textId="77777777" w:rsidR="00B316DC" w:rsidRPr="00164A41" w:rsidRDefault="00B316DC" w:rsidP="00D6475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t xml:space="preserve">- Provodile su se razne aktivnosti s ciljem zadovoljavanja potreba, interesa i mogućnosti svakog djeteta </w:t>
      </w:r>
    </w:p>
    <w:p w14:paraId="22A2566B" w14:textId="77777777" w:rsidR="00D6475F" w:rsidRPr="00164A41" w:rsidRDefault="00D6475F" w:rsidP="00D6475F">
      <w:pPr>
        <w:spacing w:after="0" w:line="240" w:lineRule="auto"/>
        <w:jc w:val="both"/>
        <w:rPr>
          <w:noProof/>
          <w:color w:val="000000"/>
          <w:sz w:val="24"/>
          <w:szCs w:val="24"/>
          <w:lang w:eastAsia="hr-HR"/>
        </w:rPr>
      </w:pPr>
    </w:p>
    <w:p w14:paraId="48DA1B8A" w14:textId="77777777" w:rsidR="00D6475F" w:rsidRPr="00164A41" w:rsidRDefault="00D6475F" w:rsidP="007A66C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POKAZATELJI USPJEŠNOSTI OSNOVNOG PROGRAMA</w:t>
      </w:r>
    </w:p>
    <w:p w14:paraId="725F60B6" w14:textId="77777777" w:rsidR="00D6475F" w:rsidRPr="00164A41" w:rsidRDefault="00D6475F" w:rsidP="007A66C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t>Broj djece obuhvaćen osnovnim – redovnim programom 482 djece</w:t>
      </w:r>
    </w:p>
    <w:p w14:paraId="500E0F51" w14:textId="77777777" w:rsidR="00D6475F" w:rsidRPr="00164A41" w:rsidRDefault="00D6475F" w:rsidP="007A66C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Broj manifestacija u koje su uključena djeca u neposrednoj okolini i na nivou Županije - Opatijski dječji dan, Lovranski dječji dan, Marunada u Lovranu, Karneval u Opatiji i Lovranu, Cup Grada Opatije, Adventski dani, Akcije Crvenog križa, Akcije Turističkih zajednica i mjesnih odbora, Festivala Opatija, Hrvatskog muzeja turizma u Opatiji, Olimpijski festival dječjih vrtića PGŽ </w:t>
      </w:r>
    </w:p>
    <w:p w14:paraId="466E712A" w14:textId="77777777" w:rsidR="00376AFE" w:rsidRPr="00164A41" w:rsidRDefault="00376AFE" w:rsidP="00D6475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15F830D3" w14:textId="77777777" w:rsidR="00AB0418" w:rsidRPr="00164A41" w:rsidRDefault="00AB0418" w:rsidP="00376AFE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4A41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 xml:space="preserve"> Aktivnost 201013 - Posebni  program </w:t>
      </w:r>
    </w:p>
    <w:p w14:paraId="6D75DCF3" w14:textId="77777777" w:rsidR="00AB0418" w:rsidRPr="00164A41" w:rsidRDefault="00AB0418" w:rsidP="00376A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Posebni program obuhvaća aktivnosti i programe kojima se unapređuje redovni program radi provedbe aktivnosti koje povoljno utječu na razvoj djece i unapređuju stjecanje vještina i kompetencija prije ulaska u školu.</w:t>
      </w:r>
    </w:p>
    <w:p w14:paraId="5DAA4F5C" w14:textId="77777777" w:rsidR="00CE7473" w:rsidRPr="00164A41" w:rsidRDefault="00CE7473" w:rsidP="00376A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Posebni programi odnose se na : 2 odgojne skupine u kojima se provodi rano učenje stranog jezika (skupina za rano učenje talijanskog jezika i skupina za rano učenje engleskog jezika), program predškole, program za djecu pripadnike Talijanske nacionalne manjine, program za djecu s posebnim potrebama te provedba kraćih specijaliziranih programa – učenje talijanskog jezika.</w:t>
      </w:r>
    </w:p>
    <w:p w14:paraId="69B36AA4" w14:textId="77777777" w:rsidR="00CE7473" w:rsidRPr="00164A41" w:rsidRDefault="00CE7473" w:rsidP="00376A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30EF6D6" w14:textId="77777777" w:rsidR="00236291" w:rsidRPr="00164A41" w:rsidRDefault="00AB0418" w:rsidP="00236291">
      <w:pPr>
        <w:pStyle w:val="BodyText3"/>
        <w:spacing w:after="0"/>
        <w:jc w:val="both"/>
        <w:rPr>
          <w:noProof/>
          <w:sz w:val="24"/>
          <w:szCs w:val="24"/>
          <w:lang w:eastAsia="hr-HR"/>
        </w:rPr>
      </w:pPr>
      <w:r w:rsidRPr="00164A41">
        <w:rPr>
          <w:noProof/>
          <w:sz w:val="24"/>
          <w:szCs w:val="24"/>
          <w:lang w:eastAsia="hr-HR"/>
        </w:rPr>
        <w:t xml:space="preserve">Planirana sredstva za provođenje posebnog programa u </w:t>
      </w:r>
      <w:r w:rsidR="006C05F5" w:rsidRPr="00164A41">
        <w:rPr>
          <w:noProof/>
          <w:sz w:val="24"/>
          <w:szCs w:val="24"/>
          <w:lang w:eastAsia="hr-HR"/>
        </w:rPr>
        <w:t>2023. godini</w:t>
      </w:r>
      <w:r w:rsidRPr="00164A41">
        <w:rPr>
          <w:b/>
          <w:noProof/>
          <w:sz w:val="24"/>
          <w:szCs w:val="24"/>
          <w:lang w:eastAsia="hr-HR"/>
        </w:rPr>
        <w:t xml:space="preserve"> </w:t>
      </w:r>
      <w:r w:rsidRPr="00164A41">
        <w:rPr>
          <w:noProof/>
          <w:sz w:val="24"/>
          <w:szCs w:val="24"/>
          <w:lang w:eastAsia="hr-HR"/>
        </w:rPr>
        <w:t>iznose 1</w:t>
      </w:r>
      <w:r w:rsidR="006C05F5" w:rsidRPr="00164A41">
        <w:rPr>
          <w:noProof/>
          <w:sz w:val="24"/>
          <w:szCs w:val="24"/>
          <w:lang w:eastAsia="hr-HR"/>
        </w:rPr>
        <w:t>10.614</w:t>
      </w:r>
      <w:r w:rsidRPr="00164A41">
        <w:rPr>
          <w:noProof/>
          <w:sz w:val="24"/>
          <w:szCs w:val="24"/>
          <w:lang w:eastAsia="hr-HR"/>
        </w:rPr>
        <w:t>,00 eura</w:t>
      </w:r>
      <w:r w:rsidR="00F64F5B" w:rsidRPr="00164A41">
        <w:rPr>
          <w:noProof/>
          <w:sz w:val="24"/>
          <w:szCs w:val="24"/>
          <w:lang w:eastAsia="hr-HR"/>
        </w:rPr>
        <w:t xml:space="preserve"> i obuhvaćaju izdatke za zaposlene</w:t>
      </w:r>
      <w:r w:rsidR="00420C40" w:rsidRPr="00164A41">
        <w:rPr>
          <w:noProof/>
          <w:sz w:val="24"/>
          <w:szCs w:val="24"/>
          <w:lang w:eastAsia="hr-HR"/>
        </w:rPr>
        <w:t xml:space="preserve"> i materijalne troškove za provedbu posebnih programa a realizirana su u iznosu od 113.026,60 eura, odnosno 2,18% više od godišnjeg plana zbog više dobivenih sredstava Ministarstva znanosti i obrazovanja koja su utrošena u materijalna sredstva za provedbu programa.</w:t>
      </w:r>
    </w:p>
    <w:p w14:paraId="102040BE" w14:textId="77777777" w:rsidR="00AB0418" w:rsidRPr="00164A41" w:rsidRDefault="005B31E5" w:rsidP="00236291">
      <w:pPr>
        <w:pStyle w:val="BodyText3"/>
        <w:spacing w:after="0"/>
        <w:jc w:val="both"/>
        <w:rPr>
          <w:noProof/>
          <w:sz w:val="24"/>
          <w:szCs w:val="24"/>
          <w:lang w:eastAsia="hr-HR"/>
        </w:rPr>
      </w:pPr>
      <w:r w:rsidRPr="00164A41">
        <w:rPr>
          <w:noProof/>
          <w:sz w:val="24"/>
          <w:szCs w:val="24"/>
          <w:lang w:eastAsia="hr-HR"/>
        </w:rPr>
        <w:t>I</w:t>
      </w:r>
      <w:r w:rsidR="00AB0418" w:rsidRPr="00164A41">
        <w:rPr>
          <w:noProof/>
          <w:sz w:val="24"/>
          <w:szCs w:val="24"/>
          <w:lang w:eastAsia="hr-HR"/>
        </w:rPr>
        <w:t xml:space="preserve">z sredstava Grada Opatije i vlastitih prihoda </w:t>
      </w:r>
      <w:r w:rsidRPr="00164A41">
        <w:rPr>
          <w:noProof/>
          <w:sz w:val="24"/>
          <w:szCs w:val="24"/>
          <w:lang w:eastAsia="hr-HR"/>
        </w:rPr>
        <w:t xml:space="preserve">od 01.01.2023. – 31.12.2023. izdaci se </w:t>
      </w:r>
      <w:r w:rsidR="00AB0418" w:rsidRPr="00164A41">
        <w:rPr>
          <w:noProof/>
          <w:sz w:val="24"/>
          <w:szCs w:val="24"/>
          <w:lang w:eastAsia="hr-HR"/>
        </w:rPr>
        <w:t xml:space="preserve">odnose se na troškove za 4 odgojitelja - plaća i prijevoz (2 odgojitelja u skupini za rano učenje engleskog jezika i 2 odgojitelja u </w:t>
      </w:r>
      <w:r w:rsidR="00AB0418" w:rsidRPr="00164A41">
        <w:rPr>
          <w:noProof/>
          <w:sz w:val="24"/>
          <w:szCs w:val="24"/>
          <w:lang w:eastAsia="hr-HR"/>
        </w:rPr>
        <w:lastRenderedPageBreak/>
        <w:t>skupini za rano učenje talijanskog jezika)</w:t>
      </w:r>
      <w:r w:rsidRPr="00164A41">
        <w:rPr>
          <w:noProof/>
          <w:sz w:val="24"/>
          <w:szCs w:val="24"/>
          <w:lang w:eastAsia="hr-HR"/>
        </w:rPr>
        <w:t xml:space="preserve"> i materijalne troškove</w:t>
      </w:r>
      <w:r w:rsidR="00400A9A" w:rsidRPr="00164A41">
        <w:rPr>
          <w:noProof/>
          <w:sz w:val="24"/>
          <w:szCs w:val="24"/>
          <w:lang w:eastAsia="hr-HR"/>
        </w:rPr>
        <w:t xml:space="preserve"> (službena putovanja</w:t>
      </w:r>
      <w:r w:rsidR="00236291" w:rsidRPr="00164A41">
        <w:rPr>
          <w:noProof/>
          <w:sz w:val="24"/>
          <w:szCs w:val="24"/>
          <w:lang w:eastAsia="hr-HR"/>
        </w:rPr>
        <w:t xml:space="preserve"> i </w:t>
      </w:r>
      <w:r w:rsidR="00400A9A" w:rsidRPr="00164A41">
        <w:rPr>
          <w:noProof/>
          <w:sz w:val="24"/>
          <w:szCs w:val="24"/>
          <w:lang w:eastAsia="hr-HR"/>
        </w:rPr>
        <w:t xml:space="preserve">stručno usavršavanje zaposlenika </w:t>
      </w:r>
      <w:r w:rsidR="00236291" w:rsidRPr="00164A41">
        <w:rPr>
          <w:noProof/>
          <w:sz w:val="24"/>
          <w:szCs w:val="24"/>
          <w:lang w:eastAsia="hr-HR"/>
        </w:rPr>
        <w:t>te</w:t>
      </w:r>
      <w:r w:rsidR="00400A9A" w:rsidRPr="00164A41">
        <w:rPr>
          <w:noProof/>
          <w:sz w:val="24"/>
          <w:szCs w:val="24"/>
          <w:lang w:eastAsia="hr-HR"/>
        </w:rPr>
        <w:t xml:space="preserve"> materijal i sirovine</w:t>
      </w:r>
      <w:r w:rsidR="00236291" w:rsidRPr="00164A41">
        <w:rPr>
          <w:noProof/>
          <w:sz w:val="24"/>
          <w:szCs w:val="24"/>
          <w:lang w:eastAsia="hr-HR"/>
        </w:rPr>
        <w:t xml:space="preserve"> za odgojne skupine</w:t>
      </w:r>
      <w:r w:rsidR="00400A9A" w:rsidRPr="00164A41">
        <w:rPr>
          <w:noProof/>
          <w:sz w:val="24"/>
          <w:szCs w:val="24"/>
          <w:lang w:eastAsia="hr-HR"/>
        </w:rPr>
        <w:t>)</w:t>
      </w:r>
      <w:r w:rsidR="00236291" w:rsidRPr="00164A41">
        <w:rPr>
          <w:noProof/>
          <w:sz w:val="24"/>
          <w:szCs w:val="24"/>
          <w:lang w:eastAsia="hr-HR"/>
        </w:rPr>
        <w:t xml:space="preserve"> koja su realizirana u skladu sa godišnjim planom.</w:t>
      </w:r>
    </w:p>
    <w:p w14:paraId="40607A10" w14:textId="77777777" w:rsidR="00236291" w:rsidRPr="00164A41" w:rsidRDefault="00236291" w:rsidP="00376AF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503784C3" w14:textId="77777777" w:rsidR="00EE1EEE" w:rsidRPr="00164A41" w:rsidRDefault="00236291" w:rsidP="00376A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redstva Ministarstva znanosti i obrazovanja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od 01.01.2023. – 31.12.2023. odnose se na financiranje</w:t>
      </w:r>
      <w:r w:rsidR="00FD74A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izdataka za program predškole (nabava potrošnog materijala), program za djecu pripadnike Talijanske manjine (nabava didaktičkog materijala), program za djecu s posebnim potrebama (nabava didaktičkog materijala i stručno usavršavanje zaposlenih) koji su veći u donosu na godišnji plan za 32,34% zbog više dobivenih sredstava </w:t>
      </w:r>
      <w:r w:rsidR="00431B76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od Ministarstva </w:t>
      </w:r>
      <w:r w:rsidR="00FD74A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koja su utrošena u provedbu posebnih programa.</w:t>
      </w:r>
    </w:p>
    <w:p w14:paraId="7CED1B95" w14:textId="77777777" w:rsidR="00EE1EEE" w:rsidRPr="00164A41" w:rsidRDefault="00EE1EEE" w:rsidP="00376A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F480ECD" w14:textId="77777777" w:rsidR="00AB0418" w:rsidRPr="00164A41" w:rsidRDefault="00EE1EEE" w:rsidP="00376A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Kraći specijalizirani program učenja talijanskog jezika provod</w:t>
      </w:r>
      <w:r w:rsidR="00A5639D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io je 1 odgojitelj od 01.01.2023. – 31.05.2023. Izdaci za potrošni materijal i naknadu odgojitelju za provođenje programa financirani su prihodima od roditelja (plaćanje cijene programa).</w:t>
      </w:r>
    </w:p>
    <w:p w14:paraId="7A6CA90F" w14:textId="77777777" w:rsidR="0069086C" w:rsidRPr="00164A41" w:rsidRDefault="0069086C" w:rsidP="00376A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9E9571" w14:textId="77777777" w:rsidR="00AB0418" w:rsidRPr="00164A41" w:rsidRDefault="00AB0418" w:rsidP="00376A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Ciljevi posebnih programa su:</w:t>
      </w:r>
    </w:p>
    <w:p w14:paraId="1FD7E698" w14:textId="77777777" w:rsidR="00AB0418" w:rsidRPr="00164A41" w:rsidRDefault="00AB0418" w:rsidP="00376AF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unapređenje osnovnog programa posebnim programima koji se provode u posebnim skupinama</w:t>
      </w:r>
      <w:r w:rsidRPr="00164A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(strani jezici)       </w:t>
      </w:r>
    </w:p>
    <w:p w14:paraId="38B62731" w14:textId="77777777" w:rsidR="00AB0418" w:rsidRPr="00164A41" w:rsidRDefault="00AB0418" w:rsidP="00376AF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unapređenje osnovnog programa kraćim specijaliziranim programima koje provode odgojitelji iz ustanove, ili se provode u suradnji s drugim ustanovama i/ili organizacijama civilnog sektora uz redovni program</w:t>
      </w:r>
    </w:p>
    <w:p w14:paraId="3F0A51B3" w14:textId="77777777" w:rsidR="00AB0418" w:rsidRPr="00164A41" w:rsidRDefault="00AB0418" w:rsidP="00376AF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većom ponudom sadržaja podizati kvalitetu senzornih iskustava djece </w:t>
      </w:r>
    </w:p>
    <w:p w14:paraId="09ED2423" w14:textId="77777777" w:rsidR="00AB0418" w:rsidRPr="00164A41" w:rsidRDefault="00AB0418" w:rsidP="00376AF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uključivanje većeg broja djece u posebne programe, osobito one koja nisu obuhvaćena osnovnim programom </w:t>
      </w:r>
    </w:p>
    <w:p w14:paraId="698FF99A" w14:textId="77777777" w:rsidR="00AB0418" w:rsidRPr="00164A41" w:rsidRDefault="00AB0418" w:rsidP="00376AF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za predškolsku djecu koja nisu obuhvaćena redovnim programima organizirati provođenje programa predškole</w:t>
      </w:r>
    </w:p>
    <w:p w14:paraId="53676D33" w14:textId="77777777" w:rsidR="00AB0418" w:rsidRPr="00164A41" w:rsidRDefault="00AB0418" w:rsidP="00376AF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D518B7" w14:textId="77777777" w:rsidR="00AB0418" w:rsidRPr="00164A41" w:rsidRDefault="0069086C" w:rsidP="00223A5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</w:rPr>
        <w:t>OBRAZLOŽENJE IZVRŠENJA POSEBNOG PROGRAMA PREDŠKOLSKOG ODGOJA OD 01.01.2023. DO 31.12.2023.</w:t>
      </w:r>
    </w:p>
    <w:p w14:paraId="2722007F" w14:textId="77777777" w:rsidR="00AB0418" w:rsidRPr="00164A41" w:rsidRDefault="00211B51" w:rsidP="00223A55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223A5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skladu sa planom stručnog usavršavanja </w:t>
      </w:r>
      <w:r w:rsidR="00756B10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izvršeno je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stručno usavršavanj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odgojitelja koji provode jezične programe – rano učenje talijanskog jezika i rano učenje engleskog jezika</w:t>
      </w:r>
    </w:p>
    <w:p w14:paraId="5E79BDB5" w14:textId="77777777" w:rsidR="00211B51" w:rsidRPr="00164A41" w:rsidRDefault="00211B51" w:rsidP="00223A55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</w:rPr>
        <w:t>-U skladu sa planom stručnog usavršavanja izvršeno je usavršavanje odgojitelja koji rade sa djecom s posebnim potrebama</w:t>
      </w:r>
    </w:p>
    <w:p w14:paraId="7F6FC415" w14:textId="77777777" w:rsidR="00AB0418" w:rsidRPr="00164A41" w:rsidRDefault="00211B51" w:rsidP="00211B51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-Izvršen</w:t>
      </w:r>
      <w:r w:rsidR="00B97381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je n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abava didaktičkog  materijala i igračaka za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program za djecu pripadnike Talijanske nacionalne manjine i program za djecu s posebnim potrebama</w:t>
      </w:r>
    </w:p>
    <w:p w14:paraId="7DC25914" w14:textId="77777777" w:rsidR="00211B51" w:rsidRPr="00164A41" w:rsidRDefault="00211B51" w:rsidP="00211B51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</w:rPr>
        <w:t>-Izvršena je nabava potrošnog materijala za rad sa djecom za program predškole</w:t>
      </w:r>
    </w:p>
    <w:p w14:paraId="23E0536C" w14:textId="77777777" w:rsidR="00AB0418" w:rsidRPr="00164A41" w:rsidRDefault="00211B51" w:rsidP="00211B51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-Isplaćene su plaće, naknade za prijevoz za djelatnike koji rade u posebnim programima</w:t>
      </w:r>
    </w:p>
    <w:p w14:paraId="6FED1326" w14:textId="77777777" w:rsidR="00AB0418" w:rsidRPr="00164A41" w:rsidRDefault="00211B51" w:rsidP="007A66C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-Izvršena je nabava potrošnog materijala za provođenje kraćeg specijaliziranog programa učenja talijanskog jezika</w:t>
      </w:r>
    </w:p>
    <w:p w14:paraId="75048C7E" w14:textId="77777777" w:rsidR="00226444" w:rsidRPr="00164A41" w:rsidRDefault="00226444" w:rsidP="0022644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t>-</w:t>
      </w:r>
      <w:r w:rsidR="00104947" w:rsidRPr="00164A41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t xml:space="preserve">Provodile su se razne aktivnosti s ciljem zadovoljavanja potreba, interesa i mogućnosti svakog djeteta </w:t>
      </w:r>
    </w:p>
    <w:p w14:paraId="4A8EA8FF" w14:textId="77777777" w:rsidR="004E36CC" w:rsidRPr="00164A41" w:rsidRDefault="004E36CC" w:rsidP="007A66C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DF615C7" w14:textId="77777777" w:rsidR="007A66C1" w:rsidRPr="00164A41" w:rsidRDefault="007A66C1" w:rsidP="007A66C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4AE56A6" w14:textId="77777777" w:rsidR="007A66C1" w:rsidRPr="00164A41" w:rsidRDefault="007A66C1" w:rsidP="00DB6F3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5" w:name="_Hlk159308120"/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POKAZATELJI USPJEŠNOSTI</w:t>
      </w:r>
      <w:r w:rsidR="00223F0B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POSEBNOG PROGRAMA</w:t>
      </w:r>
    </w:p>
    <w:p w14:paraId="6F3EF299" w14:textId="77777777" w:rsidR="007A66C1" w:rsidRPr="00164A41" w:rsidRDefault="007A66C1" w:rsidP="00DB6F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t>Broj djece uključen u posebne programe skupinu za rano učenje engleskog jezika, skupinu za rano učenje talijanskog jezika i kraće specijalizirane programe (učenje talijanskog jezika) - u skupinu za rano učenje engleskog jezika upisano je 1</w:t>
      </w:r>
      <w:r w:rsidR="00223F0B" w:rsidRPr="00164A41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t>8</w:t>
      </w:r>
      <w:r w:rsidRPr="00164A41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djece, u skupinu za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rano učenje talijanskog jezika upisano je 2</w:t>
      </w:r>
      <w:r w:rsidR="009E149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0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djece, a u kraće specijalizirane programe u</w:t>
      </w:r>
      <w:r w:rsidR="00223F0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čenja talijanskog jezika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upisano </w:t>
      </w:r>
      <w:r w:rsidR="00223F0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je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1</w:t>
      </w:r>
      <w:r w:rsidR="00223F0B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0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djece </w:t>
      </w:r>
    </w:p>
    <w:p w14:paraId="5CEDBEAF" w14:textId="77777777" w:rsidR="007A66C1" w:rsidRPr="00164A41" w:rsidRDefault="007A66C1" w:rsidP="008D3E2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Broj manifestacija na drugim razinama - priredbe djec</w:t>
      </w:r>
      <w:r w:rsidR="000B253C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 skupine s programom na talijanskom jeziku za djecu pripadnika talijanske manjine u suradnji s Talijanskom unijom</w:t>
      </w:r>
      <w:bookmarkEnd w:id="5"/>
    </w:p>
    <w:p w14:paraId="27B91704" w14:textId="77777777" w:rsidR="008D3E21" w:rsidRPr="00164A41" w:rsidRDefault="008D3E21" w:rsidP="008D3E21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B4CD52" w14:textId="77777777" w:rsidR="00AB0418" w:rsidRPr="00164A41" w:rsidRDefault="00AB0418" w:rsidP="008D3E2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INSTITUCIJE,</w:t>
      </w:r>
      <w:r w:rsidR="00DA13CF"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DRUŠTVA I STRUČNE OSOBE U PROVEDBI OSNOVNOG I POSEBNOG PROGRAMA</w:t>
      </w:r>
    </w:p>
    <w:p w14:paraId="6D358699" w14:textId="77777777" w:rsidR="00AB0418" w:rsidRPr="00164A41" w:rsidRDefault="00AB0418" w:rsidP="007A66C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Neometanu provedbu programa omogućuju svi zaposleni djelatnici Dječjeg vrtića Opatija.</w:t>
      </w:r>
    </w:p>
    <w:p w14:paraId="3979842F" w14:textId="77777777" w:rsidR="004551C6" w:rsidRPr="00164A41" w:rsidRDefault="00AB0418" w:rsidP="00062A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 provedbu programa prema potrebama uključuju se:</w:t>
      </w:r>
      <w:r w:rsidR="00062A69" w:rsidRPr="00164A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predškolske ustanove iz PGŽ,</w:t>
      </w:r>
      <w:r w:rsidR="00062A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škole - OŠ Opatije i OŠ Lovran, Ugostiteljska škola Opatija,</w:t>
      </w:r>
      <w:r w:rsidR="00062A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KŠR Gorovo Opatija,</w:t>
      </w:r>
      <w:r w:rsidR="00062A69" w:rsidRPr="00164A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sa svojim akcijama Društvo "Naša djeca"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t>Opatija i Crveni Križ Opatija</w:t>
      </w:r>
      <w:r w:rsidR="00062A69" w:rsidRPr="00164A4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Turističke zajednice - Grada Opatija, Općine Lovran i PGŽ</w:t>
      </w:r>
      <w:r w:rsidR="00062A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062A69" w:rsidRPr="00164A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Agencija za odgoj i obrazovanje, MZOŠ, Učiteljski fakultet Rijeka</w:t>
      </w:r>
      <w:r w:rsidR="00062A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Centar za socijalnu skrb Opatija</w:t>
      </w:r>
      <w:r w:rsidR="00062A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Pedijatrijske ordinacije u Opatiji i Lovranu, Ordinacija školske medicine Opatija</w:t>
      </w:r>
      <w:r w:rsidR="00062A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Grad Opatija i Općina Lovran sa svojim službama</w:t>
      </w:r>
      <w:r w:rsidR="00062A69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, Nastavni zavod za javno zdravstvo PGŽ.</w:t>
      </w:r>
    </w:p>
    <w:p w14:paraId="05D0DF83" w14:textId="77777777" w:rsidR="00062A69" w:rsidRPr="00164A41" w:rsidRDefault="00062A69" w:rsidP="00062A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91B4F4D" w14:textId="77777777" w:rsidR="00062A69" w:rsidRPr="00164A41" w:rsidRDefault="00062A69" w:rsidP="00062A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PROCJENA NEPREDVIĐENIH RASHODA I RIZIKA </w:t>
      </w:r>
    </w:p>
    <w:p w14:paraId="67BE04FA" w14:textId="77777777" w:rsidR="00062A69" w:rsidRPr="00164A41" w:rsidRDefault="00062A69" w:rsidP="00062A6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Manji broj djece  u dodatnim programima</w:t>
      </w:r>
    </w:p>
    <w:p w14:paraId="7FD1DA03" w14:textId="77777777" w:rsidR="00062A69" w:rsidRPr="00164A41" w:rsidRDefault="00062A69" w:rsidP="00062A6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Duža odsutnost zaposlenika vrtića te trošak njihove zamjene</w:t>
      </w:r>
    </w:p>
    <w:p w14:paraId="30A59436" w14:textId="77777777" w:rsidR="00062A69" w:rsidRPr="00164A41" w:rsidRDefault="00062A69" w:rsidP="00062A6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Veći ispis djece tijekom godine od očekivanog - u slučaju da nema zainteresiranih za upis na upražnjena mjesta </w:t>
      </w:r>
    </w:p>
    <w:p w14:paraId="5B339D7A" w14:textId="77777777" w:rsidR="00062A69" w:rsidRPr="00164A41" w:rsidRDefault="00062A69" w:rsidP="00062A6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Oštećenje </w:t>
      </w:r>
      <w:r w:rsidR="002317A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didaktičkog materijala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662D448F" w14:textId="77777777" w:rsidR="002A4916" w:rsidRPr="00164A41" w:rsidRDefault="00062A69" w:rsidP="00E13C33">
      <w:pPr>
        <w:pStyle w:val="ListParagraph"/>
        <w:numPr>
          <w:ilvl w:val="0"/>
          <w:numId w:val="35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  <w:lang w:eastAsia="hr-HR"/>
        </w:rPr>
        <w:t>Neplanirana poskupljena materijala, sirovina i energije</w:t>
      </w:r>
    </w:p>
    <w:p w14:paraId="71AC09B9" w14:textId="77777777" w:rsidR="00E13C33" w:rsidRPr="00164A41" w:rsidRDefault="00E13C33" w:rsidP="00E13C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FDEDFF" w14:textId="77777777" w:rsidR="00AB0418" w:rsidRPr="00164A41" w:rsidRDefault="00AB0418" w:rsidP="00E27C07">
      <w:pPr>
        <w:pStyle w:val="BodyText3"/>
        <w:numPr>
          <w:ilvl w:val="0"/>
          <w:numId w:val="23"/>
        </w:numPr>
        <w:spacing w:after="0"/>
        <w:jc w:val="both"/>
        <w:rPr>
          <w:noProof/>
          <w:sz w:val="24"/>
          <w:szCs w:val="24"/>
        </w:rPr>
      </w:pPr>
      <w:r w:rsidRPr="00164A41">
        <w:rPr>
          <w:b/>
          <w:noProof/>
          <w:sz w:val="28"/>
          <w:szCs w:val="28"/>
          <w:lang w:eastAsia="hr-HR"/>
        </w:rPr>
        <w:t xml:space="preserve"> Aktivnost K201015</w:t>
      </w:r>
      <w:r w:rsidRPr="00164A41">
        <w:rPr>
          <w:noProof/>
          <w:sz w:val="28"/>
          <w:szCs w:val="28"/>
          <w:lang w:eastAsia="hr-HR"/>
        </w:rPr>
        <w:t xml:space="preserve"> - </w:t>
      </w:r>
      <w:r w:rsidRPr="00164A41">
        <w:rPr>
          <w:b/>
          <w:noProof/>
          <w:sz w:val="28"/>
          <w:szCs w:val="28"/>
          <w:lang w:eastAsia="hr-HR"/>
        </w:rPr>
        <w:t>Kapitalna ulaganja</w:t>
      </w:r>
      <w:r w:rsidRPr="00164A41">
        <w:rPr>
          <w:noProof/>
          <w:sz w:val="24"/>
          <w:szCs w:val="24"/>
          <w:lang w:eastAsia="hr-HR"/>
        </w:rPr>
        <w:t xml:space="preserve"> obuhvaća:</w:t>
      </w:r>
    </w:p>
    <w:p w14:paraId="7BA05023" w14:textId="77777777" w:rsidR="00AB0418" w:rsidRPr="00164A41" w:rsidRDefault="00AB0418" w:rsidP="00E27C07">
      <w:pPr>
        <w:pStyle w:val="BodyText3"/>
        <w:numPr>
          <w:ilvl w:val="0"/>
          <w:numId w:val="10"/>
        </w:numPr>
        <w:spacing w:after="0"/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  <w:lang w:eastAsia="hr-HR"/>
        </w:rPr>
        <w:t>kapitalna ulaganja u objekte odnose se na radove na održavanju i uređenju objekata Vrtića</w:t>
      </w:r>
    </w:p>
    <w:p w14:paraId="502F3C56" w14:textId="77777777" w:rsidR="00AB0418" w:rsidRPr="00164A41" w:rsidRDefault="00AB0418" w:rsidP="00E27C07">
      <w:pPr>
        <w:pStyle w:val="BodyText3"/>
        <w:numPr>
          <w:ilvl w:val="0"/>
          <w:numId w:val="10"/>
        </w:numPr>
        <w:spacing w:after="0"/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  <w:lang w:eastAsia="hr-HR"/>
        </w:rPr>
        <w:t>kapitalna ulaganja u opremu odnose se na nabavu opreme za unutarnje i vanjske prostore Vrtića</w:t>
      </w:r>
    </w:p>
    <w:p w14:paraId="3F2A7F31" w14:textId="77777777" w:rsidR="00AB0418" w:rsidRPr="00164A41" w:rsidRDefault="00AB0418" w:rsidP="00E27C07">
      <w:pPr>
        <w:pStyle w:val="BodyText3"/>
        <w:spacing w:after="0"/>
        <w:ind w:left="720"/>
        <w:jc w:val="both"/>
        <w:rPr>
          <w:noProof/>
          <w:sz w:val="24"/>
          <w:szCs w:val="24"/>
        </w:rPr>
      </w:pPr>
    </w:p>
    <w:p w14:paraId="5C5E4D5F" w14:textId="77777777" w:rsidR="00AB0418" w:rsidRPr="00164A41" w:rsidRDefault="00061DC5" w:rsidP="001A773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P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lanirana sredstva za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provođenje programa 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kapitaln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ih</w:t>
      </w:r>
      <w:r w:rsidR="00AB0418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ulaganja u opremu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2023. godini iznose 24.540,00 eura i obuhvaćaju izdatke za nabavu</w:t>
      </w:r>
      <w:r w:rsidR="00E3795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nefinancijske imovine (uredska oprema i namještaj, uređaji, strojevi i oprema za ostale namjene, oprema za održavanje i zaštitu te ulaganja u računalne programe) a realizirana su u iznosu od 33.544,80 eura, odnosno 36,</w:t>
      </w:r>
      <w:r w:rsidR="00361001">
        <w:rPr>
          <w:rFonts w:ascii="Times New Roman" w:hAnsi="Times New Roman" w:cs="Times New Roman"/>
          <w:noProof/>
          <w:sz w:val="24"/>
          <w:szCs w:val="24"/>
          <w:lang w:eastAsia="hr-HR"/>
        </w:rPr>
        <w:t>69</w:t>
      </w:r>
      <w:r w:rsidR="00E3795E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% više u odnosu na godišnji plan a zbog više ostvarenih vlastitih prihoda od pripreme i prijevoza obroka i više dobivenih donacija čija su sredstva utrošena u opremu.</w:t>
      </w:r>
    </w:p>
    <w:p w14:paraId="28CB15CC" w14:textId="77777777" w:rsidR="001A7737" w:rsidRPr="00164A41" w:rsidRDefault="001A7737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0FF640" w14:textId="77777777" w:rsidR="001A7737" w:rsidRPr="00164A41" w:rsidRDefault="001A7737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</w:rPr>
        <w:t xml:space="preserve">U razdoblju od 01.01.2023. – 31.12.2023. sredstva za kapitalna ulaganja u opremu financirana su iz sredstava Grada Opatije, sredstava Općine Lovran, vlastitih prihoda te donacija </w:t>
      </w:r>
      <w:r w:rsidR="00DF2468" w:rsidRPr="00164A41">
        <w:rPr>
          <w:rFonts w:ascii="Times New Roman" w:hAnsi="Times New Roman" w:cs="Times New Roman"/>
          <w:noProof/>
          <w:sz w:val="24"/>
          <w:szCs w:val="24"/>
        </w:rPr>
        <w:t>Gitone Kvarner d</w:t>
      </w:r>
      <w:r w:rsidR="00C920C9" w:rsidRPr="00164A41">
        <w:rPr>
          <w:rFonts w:ascii="Times New Roman" w:hAnsi="Times New Roman" w:cs="Times New Roman"/>
          <w:noProof/>
          <w:sz w:val="24"/>
          <w:szCs w:val="24"/>
        </w:rPr>
        <w:t>.</w:t>
      </w:r>
      <w:r w:rsidR="00DF2468" w:rsidRPr="00164A41">
        <w:rPr>
          <w:rFonts w:ascii="Times New Roman" w:hAnsi="Times New Roman" w:cs="Times New Roman"/>
          <w:noProof/>
          <w:sz w:val="24"/>
          <w:szCs w:val="24"/>
        </w:rPr>
        <w:t>o</w:t>
      </w:r>
      <w:r w:rsidR="001909C8" w:rsidRPr="00164A41">
        <w:rPr>
          <w:rFonts w:ascii="Times New Roman" w:hAnsi="Times New Roman" w:cs="Times New Roman"/>
          <w:noProof/>
          <w:sz w:val="24"/>
          <w:szCs w:val="24"/>
        </w:rPr>
        <w:t>.</w:t>
      </w:r>
      <w:r w:rsidR="00DF2468" w:rsidRPr="00164A41">
        <w:rPr>
          <w:rFonts w:ascii="Times New Roman" w:hAnsi="Times New Roman" w:cs="Times New Roman"/>
          <w:noProof/>
          <w:sz w:val="24"/>
          <w:szCs w:val="24"/>
        </w:rPr>
        <w:t xml:space="preserve">o i </w:t>
      </w:r>
      <w:r w:rsidR="002213D7" w:rsidRPr="00164A41">
        <w:rPr>
          <w:rFonts w:ascii="Times New Roman" w:hAnsi="Times New Roman" w:cs="Times New Roman"/>
          <w:noProof/>
          <w:sz w:val="24"/>
          <w:szCs w:val="24"/>
        </w:rPr>
        <w:t>Talijansk Unij</w:t>
      </w:r>
      <w:r w:rsidR="00354ED3">
        <w:rPr>
          <w:rFonts w:ascii="Times New Roman" w:hAnsi="Times New Roman" w:cs="Times New Roman"/>
          <w:noProof/>
          <w:sz w:val="24"/>
          <w:szCs w:val="24"/>
        </w:rPr>
        <w:t>e</w:t>
      </w:r>
      <w:r w:rsidR="00DF2468" w:rsidRPr="00164A4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9669F23" w14:textId="77777777" w:rsidR="00D3215D" w:rsidRPr="00164A41" w:rsidRDefault="00D3215D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F3C9CC" w14:textId="77777777" w:rsidR="00D3215D" w:rsidRPr="00164A41" w:rsidRDefault="00D3215D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</w:rPr>
        <w:t xml:space="preserve">Sredstva Grada Opatije utrošena su </w:t>
      </w:r>
      <w:r w:rsidR="002658CD" w:rsidRPr="00164A41">
        <w:rPr>
          <w:rFonts w:ascii="Times New Roman" w:hAnsi="Times New Roman" w:cs="Times New Roman"/>
          <w:noProof/>
          <w:sz w:val="24"/>
          <w:szCs w:val="24"/>
        </w:rPr>
        <w:t>za</w:t>
      </w:r>
      <w:r w:rsidRPr="00164A41">
        <w:rPr>
          <w:rFonts w:ascii="Times New Roman" w:hAnsi="Times New Roman" w:cs="Times New Roman"/>
          <w:noProof/>
          <w:sz w:val="24"/>
          <w:szCs w:val="24"/>
        </w:rPr>
        <w:t xml:space="preserve"> nabavu:</w:t>
      </w:r>
    </w:p>
    <w:p w14:paraId="639166E8" w14:textId="77777777" w:rsidR="001A5240" w:rsidRPr="00164A41" w:rsidRDefault="001A5240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namještaj (previjalište) – IV. skupina objekt Opatija</w:t>
      </w:r>
    </w:p>
    <w:p w14:paraId="5C25BD47" w14:textId="77777777" w:rsidR="001A5240" w:rsidRPr="00164A41" w:rsidRDefault="00AB3990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namještaj (</w:t>
      </w:r>
      <w:r w:rsidR="001A5240" w:rsidRPr="00164A41">
        <w:rPr>
          <w:noProof/>
          <w:sz w:val="24"/>
          <w:szCs w:val="24"/>
        </w:rPr>
        <w:t>garderobni ormari</w:t>
      </w:r>
      <w:r w:rsidRPr="00164A41">
        <w:rPr>
          <w:noProof/>
          <w:sz w:val="24"/>
          <w:szCs w:val="24"/>
        </w:rPr>
        <w:t>)</w:t>
      </w:r>
      <w:r w:rsidR="001A5240" w:rsidRPr="00164A41">
        <w:rPr>
          <w:noProof/>
          <w:sz w:val="24"/>
          <w:szCs w:val="24"/>
        </w:rPr>
        <w:t xml:space="preserve"> – skupine objekt Opatija</w:t>
      </w:r>
    </w:p>
    <w:p w14:paraId="2EDB3552" w14:textId="77777777" w:rsidR="001A5240" w:rsidRPr="00164A41" w:rsidRDefault="001A5240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računalo sa monitorom – II. skupina objekt Opatija</w:t>
      </w:r>
    </w:p>
    <w:p w14:paraId="2A994D2D" w14:textId="77777777" w:rsidR="001A5240" w:rsidRPr="00164A41" w:rsidRDefault="001A5240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računalo sa monit</w:t>
      </w:r>
      <w:r w:rsidR="005B630F" w:rsidRPr="00164A41">
        <w:rPr>
          <w:noProof/>
          <w:sz w:val="24"/>
          <w:szCs w:val="24"/>
        </w:rPr>
        <w:t>o</w:t>
      </w:r>
      <w:r w:rsidRPr="00164A41">
        <w:rPr>
          <w:noProof/>
          <w:sz w:val="24"/>
          <w:szCs w:val="24"/>
        </w:rPr>
        <w:t>rom – skupina Objekt Veprinac</w:t>
      </w:r>
    </w:p>
    <w:p w14:paraId="56328EA3" w14:textId="77777777" w:rsidR="001A5240" w:rsidRPr="00164A41" w:rsidRDefault="001A5240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program digitalna pisarnica – ured administrato</w:t>
      </w:r>
      <w:r w:rsidR="00BA2D42" w:rsidRPr="00164A41">
        <w:rPr>
          <w:noProof/>
          <w:sz w:val="24"/>
          <w:szCs w:val="24"/>
        </w:rPr>
        <w:t>r</w:t>
      </w:r>
      <w:r w:rsidRPr="00164A41">
        <w:rPr>
          <w:noProof/>
          <w:sz w:val="24"/>
          <w:szCs w:val="24"/>
        </w:rPr>
        <w:t>/tajnik objekt Opatija</w:t>
      </w:r>
    </w:p>
    <w:p w14:paraId="6C96F481" w14:textId="77777777" w:rsidR="001A5240" w:rsidRPr="00164A41" w:rsidRDefault="001A5240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3 klima uređaja – kuhinja objekt Opatija</w:t>
      </w:r>
    </w:p>
    <w:p w14:paraId="762EEB47" w14:textId="77777777" w:rsidR="001A5240" w:rsidRPr="00164A41" w:rsidRDefault="001A5240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Perilica za suđe sa postoljem – kuhinja objekt Ičići</w:t>
      </w:r>
    </w:p>
    <w:p w14:paraId="0104EAB9" w14:textId="77777777" w:rsidR="00BF1ECE" w:rsidRPr="00164A41" w:rsidRDefault="00BF1ECE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AD6C49" w14:textId="77777777" w:rsidR="00BF1ECE" w:rsidRPr="00164A41" w:rsidRDefault="00BF1ECE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</w:rPr>
        <w:t>Sredstva Općine Lovran utrošena su za nabavu:</w:t>
      </w:r>
    </w:p>
    <w:p w14:paraId="7C200562" w14:textId="77777777" w:rsidR="00BF1ECE" w:rsidRPr="00164A41" w:rsidRDefault="00AB3990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n</w:t>
      </w:r>
      <w:r w:rsidR="00BF1ECE" w:rsidRPr="00164A41">
        <w:rPr>
          <w:noProof/>
          <w:sz w:val="24"/>
          <w:szCs w:val="24"/>
        </w:rPr>
        <w:t xml:space="preserve">amještaj </w:t>
      </w:r>
      <w:r w:rsidRPr="00164A41">
        <w:rPr>
          <w:noProof/>
          <w:sz w:val="24"/>
          <w:szCs w:val="24"/>
        </w:rPr>
        <w:t xml:space="preserve">– VI. Skupina objekt Lovran </w:t>
      </w:r>
    </w:p>
    <w:p w14:paraId="737B7646" w14:textId="77777777" w:rsidR="00D3215D" w:rsidRPr="00164A41" w:rsidRDefault="00D3215D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27552CA" w14:textId="77777777" w:rsidR="00930F8F" w:rsidRPr="00164A41" w:rsidRDefault="00930F8F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</w:rPr>
        <w:t>Vlastiti prihodi utrošeni su za nabavu:</w:t>
      </w:r>
    </w:p>
    <w:p w14:paraId="49F5F6DC" w14:textId="77777777" w:rsidR="00930F8F" w:rsidRPr="00164A41" w:rsidRDefault="00416253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namještaja – I., II. i V. skupina objekt Opatija</w:t>
      </w:r>
    </w:p>
    <w:p w14:paraId="7C0C29D7" w14:textId="77777777" w:rsidR="00416253" w:rsidRPr="00164A41" w:rsidRDefault="00416253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namještaj (ormar) – zbornica objekt Veprinac</w:t>
      </w:r>
    </w:p>
    <w:p w14:paraId="79AE07BA" w14:textId="77777777" w:rsidR="00416253" w:rsidRPr="00164A41" w:rsidRDefault="00416253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namještaj (ormar) – VIII. skupina objekt Opatija</w:t>
      </w:r>
    </w:p>
    <w:p w14:paraId="246B56B2" w14:textId="77777777" w:rsidR="00416253" w:rsidRPr="00164A41" w:rsidRDefault="00416253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krevetići – skupine objekt Volosko</w:t>
      </w:r>
    </w:p>
    <w:p w14:paraId="44E9A256" w14:textId="77777777" w:rsidR="00416253" w:rsidRPr="00164A41" w:rsidRDefault="00416253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059582" w14:textId="77777777" w:rsidR="00416253" w:rsidRPr="00164A41" w:rsidRDefault="00416253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</w:rPr>
        <w:t xml:space="preserve">Donacija Talijanske Unije </w:t>
      </w:r>
      <w:r w:rsidR="006A208C" w:rsidRPr="00164A41">
        <w:rPr>
          <w:rFonts w:ascii="Times New Roman" w:hAnsi="Times New Roman" w:cs="Times New Roman"/>
          <w:noProof/>
          <w:sz w:val="24"/>
          <w:szCs w:val="24"/>
        </w:rPr>
        <w:t xml:space="preserve">iz 2023. godine </w:t>
      </w:r>
      <w:r w:rsidRPr="00164A41">
        <w:rPr>
          <w:rFonts w:ascii="Times New Roman" w:hAnsi="Times New Roman" w:cs="Times New Roman"/>
          <w:noProof/>
          <w:sz w:val="24"/>
          <w:szCs w:val="24"/>
        </w:rPr>
        <w:t>utr</w:t>
      </w:r>
      <w:r w:rsidR="004B1C68" w:rsidRPr="00164A41">
        <w:rPr>
          <w:rFonts w:ascii="Times New Roman" w:hAnsi="Times New Roman" w:cs="Times New Roman"/>
          <w:noProof/>
          <w:sz w:val="24"/>
          <w:szCs w:val="24"/>
        </w:rPr>
        <w:t>oše</w:t>
      </w:r>
      <w:r w:rsidRPr="00164A41">
        <w:rPr>
          <w:rFonts w:ascii="Times New Roman" w:hAnsi="Times New Roman" w:cs="Times New Roman"/>
          <w:noProof/>
          <w:sz w:val="24"/>
          <w:szCs w:val="24"/>
        </w:rPr>
        <w:t>na je za nabavu:</w:t>
      </w:r>
    </w:p>
    <w:p w14:paraId="3B457504" w14:textId="77777777" w:rsidR="007E164F" w:rsidRDefault="00416253" w:rsidP="007E164F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 xml:space="preserve">namještaj (pannello) </w:t>
      </w:r>
      <w:r w:rsidR="00B6321E" w:rsidRPr="00164A41">
        <w:rPr>
          <w:noProof/>
          <w:sz w:val="24"/>
          <w:szCs w:val="24"/>
        </w:rPr>
        <w:t>–</w:t>
      </w:r>
      <w:r w:rsidRPr="00164A41">
        <w:rPr>
          <w:noProof/>
          <w:sz w:val="24"/>
          <w:szCs w:val="24"/>
        </w:rPr>
        <w:t xml:space="preserve"> </w:t>
      </w:r>
      <w:r w:rsidR="00B6321E" w:rsidRPr="00164A41">
        <w:rPr>
          <w:noProof/>
          <w:sz w:val="24"/>
          <w:szCs w:val="24"/>
        </w:rPr>
        <w:t>Talijanska grupa objekt Lovran</w:t>
      </w:r>
    </w:p>
    <w:p w14:paraId="72A6FDA8" w14:textId="77777777" w:rsidR="007E164F" w:rsidRPr="007E164F" w:rsidRDefault="007E164F" w:rsidP="007E164F">
      <w:pPr>
        <w:pStyle w:val="ListParagraph"/>
        <w:jc w:val="both"/>
        <w:rPr>
          <w:noProof/>
          <w:sz w:val="24"/>
          <w:szCs w:val="24"/>
        </w:rPr>
      </w:pPr>
    </w:p>
    <w:p w14:paraId="0B5E02C1" w14:textId="77777777" w:rsidR="00E64AA6" w:rsidRPr="00164A41" w:rsidRDefault="00E64AA6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</w:rPr>
        <w:t>Donacija Gitone Kvarner d</w:t>
      </w:r>
      <w:r w:rsidR="00CA4195" w:rsidRPr="00164A41">
        <w:rPr>
          <w:rFonts w:ascii="Times New Roman" w:hAnsi="Times New Roman" w:cs="Times New Roman"/>
          <w:noProof/>
          <w:sz w:val="24"/>
          <w:szCs w:val="24"/>
        </w:rPr>
        <w:t>.</w:t>
      </w:r>
      <w:r w:rsidRPr="00164A41">
        <w:rPr>
          <w:rFonts w:ascii="Times New Roman" w:hAnsi="Times New Roman" w:cs="Times New Roman"/>
          <w:noProof/>
          <w:sz w:val="24"/>
          <w:szCs w:val="24"/>
        </w:rPr>
        <w:t>o</w:t>
      </w:r>
      <w:r w:rsidR="00CA4195" w:rsidRPr="00164A41">
        <w:rPr>
          <w:rFonts w:ascii="Times New Roman" w:hAnsi="Times New Roman" w:cs="Times New Roman"/>
          <w:noProof/>
          <w:sz w:val="24"/>
          <w:szCs w:val="24"/>
        </w:rPr>
        <w:t>.</w:t>
      </w:r>
      <w:r w:rsidRPr="00164A41">
        <w:rPr>
          <w:rFonts w:ascii="Times New Roman" w:hAnsi="Times New Roman" w:cs="Times New Roman"/>
          <w:noProof/>
          <w:sz w:val="24"/>
          <w:szCs w:val="24"/>
        </w:rPr>
        <w:t>o iz 2022. godine, a sredstva su utrošena u 2023. godini za nabavu:</w:t>
      </w:r>
    </w:p>
    <w:p w14:paraId="309C6F2B" w14:textId="77777777" w:rsidR="00E64AA6" w:rsidRPr="00164A41" w:rsidRDefault="00E64AA6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računalo sa monitorom – VI. Skupina objekt Lovran</w:t>
      </w:r>
    </w:p>
    <w:p w14:paraId="7C61A247" w14:textId="77777777" w:rsidR="00143CC7" w:rsidRPr="00164A41" w:rsidRDefault="00143CC7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prijenosno računalo – skupine objekt Volosko</w:t>
      </w:r>
    </w:p>
    <w:p w14:paraId="489B7FF1" w14:textId="77777777" w:rsidR="00143CC7" w:rsidRPr="00164A41" w:rsidRDefault="00143CC7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prijenosno računalo – ured pedagoga objekt Opatija</w:t>
      </w:r>
    </w:p>
    <w:p w14:paraId="10882E06" w14:textId="77777777" w:rsidR="00143CC7" w:rsidRPr="00164A41" w:rsidRDefault="00143CC7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lastRenderedPageBreak/>
        <w:t>5 printera – ured zdravstvenog voditelja objekt Opatija, III. I VI. skupina objekt Lovran,</w:t>
      </w:r>
      <w:r w:rsidR="001E7E0C" w:rsidRPr="00164A41">
        <w:rPr>
          <w:noProof/>
          <w:sz w:val="24"/>
          <w:szCs w:val="24"/>
        </w:rPr>
        <w:t xml:space="preserve"> zbornica objekt Veprinac, jaslička skupina objekt Dom Gržinić Veprinac</w:t>
      </w:r>
    </w:p>
    <w:p w14:paraId="535A5E1E" w14:textId="77777777" w:rsidR="00B64697" w:rsidRPr="00164A41" w:rsidRDefault="00B64697" w:rsidP="00B64697">
      <w:pPr>
        <w:pStyle w:val="ListParagraph"/>
        <w:jc w:val="both"/>
        <w:rPr>
          <w:noProof/>
          <w:sz w:val="24"/>
          <w:szCs w:val="24"/>
        </w:rPr>
      </w:pPr>
    </w:p>
    <w:p w14:paraId="4CD978BE" w14:textId="77777777" w:rsidR="006A208C" w:rsidRPr="00164A41" w:rsidRDefault="006A208C" w:rsidP="00B64697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</w:rPr>
        <w:t xml:space="preserve">Donacija Gitone </w:t>
      </w:r>
      <w:r w:rsidR="00947926">
        <w:rPr>
          <w:rFonts w:ascii="Times New Roman" w:hAnsi="Times New Roman" w:cs="Times New Roman"/>
          <w:noProof/>
          <w:sz w:val="24"/>
          <w:szCs w:val="24"/>
        </w:rPr>
        <w:t xml:space="preserve">d.o.o </w:t>
      </w:r>
      <w:r w:rsidRPr="00164A41">
        <w:rPr>
          <w:rFonts w:ascii="Times New Roman" w:hAnsi="Times New Roman" w:cs="Times New Roman"/>
          <w:noProof/>
          <w:sz w:val="24"/>
          <w:szCs w:val="24"/>
        </w:rPr>
        <w:t>iz 2023. godine utrošena je za nabavu:</w:t>
      </w:r>
    </w:p>
    <w:p w14:paraId="4DF9F4AD" w14:textId="77777777" w:rsidR="006A208C" w:rsidRPr="00164A41" w:rsidRDefault="006A208C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prijenosno računalo – ured administrator/tajnik objekt Opatija</w:t>
      </w:r>
    </w:p>
    <w:p w14:paraId="092C8105" w14:textId="77777777" w:rsidR="006A208C" w:rsidRPr="00164A41" w:rsidRDefault="006A208C" w:rsidP="00B64697">
      <w:pPr>
        <w:pStyle w:val="ListParagraph"/>
        <w:numPr>
          <w:ilvl w:val="0"/>
          <w:numId w:val="34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namještaj (garderobni ormari) – skupine objekt Lovran</w:t>
      </w:r>
    </w:p>
    <w:p w14:paraId="0B5E4D13" w14:textId="77777777" w:rsidR="00AB0418" w:rsidRPr="00164A41" w:rsidRDefault="00AB0418" w:rsidP="00B64697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BBF847B" w14:textId="77777777" w:rsidR="00AB0418" w:rsidRPr="00164A41" w:rsidRDefault="00AB0418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Ciljevi kapitalnih ulaganja su:</w:t>
      </w:r>
    </w:p>
    <w:p w14:paraId="3D4A2D76" w14:textId="77777777" w:rsidR="00AB0418" w:rsidRPr="00164A41" w:rsidRDefault="00AB0418" w:rsidP="00B6469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osiguravanje prostornih uvjeta</w:t>
      </w: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za siguran i kvalitetan boravak djece u vrtiću i oko njega </w:t>
      </w:r>
    </w:p>
    <w:p w14:paraId="61BEEC58" w14:textId="77777777" w:rsidR="00AB0418" w:rsidRPr="00164A41" w:rsidRDefault="00AB0418" w:rsidP="00B64697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ulaganjem u objekte </w:t>
      </w:r>
    </w:p>
    <w:p w14:paraId="747DDC0F" w14:textId="77777777" w:rsidR="00AB0418" w:rsidRPr="00164A41" w:rsidRDefault="00AB0418" w:rsidP="00B6469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unapređenje, briga i održavanje prostornih uvjeta za boravak djece u vrtiću kontinuiranim </w:t>
      </w:r>
    </w:p>
    <w:p w14:paraId="1B702177" w14:textId="77777777" w:rsidR="00AB0418" w:rsidRPr="00164A41" w:rsidRDefault="00AB0418" w:rsidP="00B64697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ulaganjem u opremu za unutarnje i vanjske prostore</w:t>
      </w: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</w:p>
    <w:p w14:paraId="37C08901" w14:textId="77777777" w:rsidR="00AB0418" w:rsidRPr="00164A41" w:rsidRDefault="00AB0418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054BCBC" w14:textId="77777777" w:rsidR="00AB0418" w:rsidRPr="00164A41" w:rsidRDefault="00AB0418" w:rsidP="00B646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PROCJENA NEPREDVIĐENIH RASHODA I RIZIKA</w:t>
      </w:r>
    </w:p>
    <w:p w14:paraId="7DD95C2C" w14:textId="77777777" w:rsidR="00B64697" w:rsidRPr="00164A41" w:rsidRDefault="00B64697" w:rsidP="00B64697">
      <w:pPr>
        <w:pStyle w:val="ListParagraph"/>
        <w:numPr>
          <w:ilvl w:val="0"/>
          <w:numId w:val="35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Nepredviđeni kvarovi osnovnih sredstava</w:t>
      </w:r>
    </w:p>
    <w:p w14:paraId="16B20923" w14:textId="77777777" w:rsidR="00B64697" w:rsidRPr="00164A41" w:rsidRDefault="00B64697" w:rsidP="00B64697">
      <w:pPr>
        <w:pStyle w:val="ListParagraph"/>
        <w:numPr>
          <w:ilvl w:val="0"/>
          <w:numId w:val="35"/>
        </w:numPr>
        <w:jc w:val="both"/>
        <w:rPr>
          <w:noProof/>
          <w:sz w:val="24"/>
          <w:szCs w:val="24"/>
        </w:rPr>
      </w:pPr>
      <w:r w:rsidRPr="00164A41">
        <w:rPr>
          <w:noProof/>
          <w:sz w:val="24"/>
          <w:szCs w:val="24"/>
        </w:rPr>
        <w:t>Nepredviđena oštećenja na zgradama Vrtića</w:t>
      </w:r>
    </w:p>
    <w:p w14:paraId="47152EA6" w14:textId="77777777" w:rsidR="00AB0418" w:rsidRPr="00164A41" w:rsidRDefault="00AB0418" w:rsidP="00B646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2AB7338" w14:textId="77777777" w:rsidR="00580BEA" w:rsidRPr="00164A41" w:rsidRDefault="00B1549F" w:rsidP="00B646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Kako bi se ostvarili postavljeni ciljevi odgojno – obrazovnog </w:t>
      </w:r>
      <w:r w:rsidR="004F6C1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rada</w:t>
      </w:r>
      <w:r w:rsidR="001C4BB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2023. godini ukupni rashodi i izdaci</w:t>
      </w:r>
      <w:r w:rsidR="004B62DA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Programa predškolskog odgoja i obrazovanja </w:t>
      </w:r>
      <w:r w:rsidR="00DB610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</w:t>
      </w:r>
      <w:r w:rsidR="00AC68E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2023. godini prati</w:t>
      </w:r>
      <w:r w:rsidR="00760123">
        <w:rPr>
          <w:rFonts w:ascii="Times New Roman" w:hAnsi="Times New Roman" w:cs="Times New Roman"/>
          <w:noProof/>
          <w:sz w:val="24"/>
          <w:szCs w:val="24"/>
          <w:lang w:eastAsia="hr-HR"/>
        </w:rPr>
        <w:t>li</w:t>
      </w:r>
      <w:r w:rsidR="00AC68E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760123">
        <w:rPr>
          <w:rFonts w:ascii="Times New Roman" w:hAnsi="Times New Roman" w:cs="Times New Roman"/>
          <w:noProof/>
          <w:sz w:val="24"/>
          <w:szCs w:val="24"/>
          <w:lang w:eastAsia="hr-HR"/>
        </w:rPr>
        <w:t>su</w:t>
      </w:r>
      <w:r w:rsidR="00AC68E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dinamiku provođenja </w:t>
      </w:r>
      <w:r w:rsidR="001C4BB5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istog </w:t>
      </w:r>
      <w:r w:rsidR="00AC68EF"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sa ciljem zadovoljavanja potreba i interesa djece.</w:t>
      </w:r>
    </w:p>
    <w:p w14:paraId="566FE7CF" w14:textId="77777777" w:rsidR="00BC4B8C" w:rsidRPr="00164A41" w:rsidRDefault="00BC4B8C" w:rsidP="00B646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E1CE072" w14:textId="77777777" w:rsidR="00E11B77" w:rsidRPr="00164A41" w:rsidRDefault="00E11B77" w:rsidP="00B646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54DB2CA3" w14:textId="77777777" w:rsidR="006415C1" w:rsidRDefault="006415C1" w:rsidP="00B646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774C3E08" w14:textId="77777777" w:rsidR="00F83C1E" w:rsidRPr="00164A41" w:rsidRDefault="00F83C1E" w:rsidP="00B646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2F4AA6C" w14:textId="77777777" w:rsidR="006415C1" w:rsidRPr="00164A41" w:rsidRDefault="006415C1" w:rsidP="00B646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3F3AD244" w14:textId="77777777" w:rsidR="00AB0418" w:rsidRPr="00164A41" w:rsidRDefault="00AB0418" w:rsidP="00BC4B8C">
      <w:pPr>
        <w:spacing w:after="0" w:line="240" w:lineRule="auto"/>
        <w:ind w:left="4488"/>
        <w:jc w:val="center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Ravnateljica:</w:t>
      </w:r>
    </w:p>
    <w:p w14:paraId="4EA15D29" w14:textId="77777777" w:rsidR="00AB0418" w:rsidRPr="00164A41" w:rsidRDefault="00AB0418" w:rsidP="00BC4B8C">
      <w:pPr>
        <w:spacing w:after="0" w:line="240" w:lineRule="auto"/>
        <w:ind w:left="4488"/>
        <w:jc w:val="center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________________________</w:t>
      </w:r>
    </w:p>
    <w:p w14:paraId="1F7FBB4C" w14:textId="77777777" w:rsidR="00AB0418" w:rsidRPr="00164A41" w:rsidRDefault="00AB0418" w:rsidP="00BC4B8C">
      <w:pPr>
        <w:spacing w:after="0" w:line="240" w:lineRule="auto"/>
        <w:ind w:left="448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64A41">
        <w:rPr>
          <w:rFonts w:ascii="Times New Roman" w:hAnsi="Times New Roman" w:cs="Times New Roman"/>
          <w:noProof/>
          <w:sz w:val="24"/>
          <w:szCs w:val="24"/>
          <w:lang w:eastAsia="hr-HR"/>
        </w:rPr>
        <w:t>Biljana Šuša</w:t>
      </w:r>
    </w:p>
    <w:sectPr w:rsidR="00AB0418" w:rsidRPr="00164A41" w:rsidSect="00B750EE">
      <w:footerReference w:type="default" r:id="rId10"/>
      <w:pgSz w:w="11906" w:h="16838"/>
      <w:pgMar w:top="1134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89BA5" w14:textId="77777777" w:rsidR="00025701" w:rsidRDefault="00025701" w:rsidP="006415C1">
      <w:pPr>
        <w:spacing w:after="0" w:line="240" w:lineRule="auto"/>
      </w:pPr>
      <w:r>
        <w:separator/>
      </w:r>
    </w:p>
  </w:endnote>
  <w:endnote w:type="continuationSeparator" w:id="0">
    <w:p w14:paraId="5CE69ED7" w14:textId="77777777" w:rsidR="00025701" w:rsidRDefault="00025701" w:rsidP="0064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386679"/>
      <w:docPartObj>
        <w:docPartGallery w:val="Page Numbers (Bottom of Page)"/>
        <w:docPartUnique/>
      </w:docPartObj>
    </w:sdtPr>
    <w:sdtEndPr/>
    <w:sdtContent>
      <w:p w14:paraId="5662A0EF" w14:textId="77777777" w:rsidR="008929E9" w:rsidRDefault="008929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4CB0A" w14:textId="77777777" w:rsidR="008929E9" w:rsidRDefault="00892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D3A36" w14:textId="77777777" w:rsidR="00025701" w:rsidRDefault="00025701" w:rsidP="006415C1">
      <w:pPr>
        <w:spacing w:after="0" w:line="240" w:lineRule="auto"/>
      </w:pPr>
      <w:r>
        <w:separator/>
      </w:r>
    </w:p>
  </w:footnote>
  <w:footnote w:type="continuationSeparator" w:id="0">
    <w:p w14:paraId="7F28F604" w14:textId="77777777" w:rsidR="00025701" w:rsidRDefault="00025701" w:rsidP="00641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de-DE" w:eastAsia="hr-HR"/>
      </w:rPr>
    </w:lvl>
  </w:abstractNum>
  <w:abstractNum w:abstractNumId="2" w15:restartNumberingAfterBreak="0">
    <w:nsid w:val="00000003"/>
    <w:multiLevelType w:val="singleLevel"/>
    <w:tmpl w:val="00000003"/>
    <w:lvl w:ilvl="0">
      <w:start w:val="8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hr-HR" w:eastAsia="hr-H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de-DE" w:eastAsia="hr-H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hr-HR" w:eastAsia="hr-HR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hr-HR" w:eastAsia="hr-H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67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de-DE" w:eastAsia="hr-HR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hr-HR" w:eastAsia="hr-HR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val="hr-HR" w:eastAsia="hr-H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de-D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hr-HR" w:eastAsia="hr-HR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hr-HR" w:eastAsia="hr-HR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de-DE" w:eastAsia="hr-HR"/>
      </w:rPr>
    </w:lvl>
  </w:abstractNum>
  <w:abstractNum w:abstractNumId="14" w15:restartNumberingAfterBreak="0">
    <w:nsid w:val="04F9633B"/>
    <w:multiLevelType w:val="hybridMultilevel"/>
    <w:tmpl w:val="7C58A200"/>
    <w:lvl w:ilvl="0" w:tplc="AC3E54A4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CB7240"/>
    <w:multiLevelType w:val="hybridMultilevel"/>
    <w:tmpl w:val="CB004D98"/>
    <w:lvl w:ilvl="0" w:tplc="069E1D1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2F357B"/>
    <w:multiLevelType w:val="hybridMultilevel"/>
    <w:tmpl w:val="17C06D8C"/>
    <w:lvl w:ilvl="0" w:tplc="05DE8CAC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9A573B"/>
    <w:multiLevelType w:val="hybridMultilevel"/>
    <w:tmpl w:val="DF7C3AA8"/>
    <w:lvl w:ilvl="0" w:tplc="1B3C54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931D5D"/>
    <w:multiLevelType w:val="hybridMultilevel"/>
    <w:tmpl w:val="29CE2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C35B8"/>
    <w:multiLevelType w:val="hybridMultilevel"/>
    <w:tmpl w:val="2656FC5E"/>
    <w:lvl w:ilvl="0" w:tplc="563A4CBC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C73BA"/>
    <w:multiLevelType w:val="hybridMultilevel"/>
    <w:tmpl w:val="F412FC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129BB"/>
    <w:multiLevelType w:val="hybridMultilevel"/>
    <w:tmpl w:val="708AC99C"/>
    <w:lvl w:ilvl="0" w:tplc="F2544370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B7F56"/>
    <w:multiLevelType w:val="hybridMultilevel"/>
    <w:tmpl w:val="59BC10FA"/>
    <w:lvl w:ilvl="0" w:tplc="7BB67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72EBF"/>
    <w:multiLevelType w:val="hybridMultilevel"/>
    <w:tmpl w:val="94F63D76"/>
    <w:lvl w:ilvl="0" w:tplc="5F049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609D3"/>
    <w:multiLevelType w:val="hybridMultilevel"/>
    <w:tmpl w:val="B3C05A8E"/>
    <w:lvl w:ilvl="0" w:tplc="E9CCF56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9044B"/>
    <w:multiLevelType w:val="hybridMultilevel"/>
    <w:tmpl w:val="14D0F326"/>
    <w:lvl w:ilvl="0" w:tplc="DC787A2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80BAE"/>
    <w:multiLevelType w:val="hybridMultilevel"/>
    <w:tmpl w:val="32148598"/>
    <w:lvl w:ilvl="0" w:tplc="E92820C2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1207F"/>
    <w:multiLevelType w:val="hybridMultilevel"/>
    <w:tmpl w:val="9CB8A57C"/>
    <w:lvl w:ilvl="0" w:tplc="4D3C6D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1DA1"/>
    <w:multiLevelType w:val="hybridMultilevel"/>
    <w:tmpl w:val="693EE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E7AB1"/>
    <w:multiLevelType w:val="hybridMultilevel"/>
    <w:tmpl w:val="49D4C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C43BA"/>
    <w:multiLevelType w:val="hybridMultilevel"/>
    <w:tmpl w:val="F7D41FE0"/>
    <w:lvl w:ilvl="0" w:tplc="4F861B8A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92993"/>
    <w:multiLevelType w:val="hybridMultilevel"/>
    <w:tmpl w:val="FDE83880"/>
    <w:lvl w:ilvl="0" w:tplc="0ADCE3E2">
      <w:start w:val="1"/>
      <w:numFmt w:val="decimal"/>
      <w:lvlText w:val="%1.)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3517933"/>
    <w:multiLevelType w:val="hybridMultilevel"/>
    <w:tmpl w:val="431A9F5C"/>
    <w:lvl w:ilvl="0" w:tplc="C2A02680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A146D"/>
    <w:multiLevelType w:val="hybridMultilevel"/>
    <w:tmpl w:val="ED00C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423CB"/>
    <w:multiLevelType w:val="hybridMultilevel"/>
    <w:tmpl w:val="CB2875AE"/>
    <w:lvl w:ilvl="0" w:tplc="A860F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28"/>
  </w:num>
  <w:num w:numId="17">
    <w:abstractNumId w:val="29"/>
  </w:num>
  <w:num w:numId="18">
    <w:abstractNumId w:val="23"/>
  </w:num>
  <w:num w:numId="19">
    <w:abstractNumId w:val="33"/>
  </w:num>
  <w:num w:numId="20">
    <w:abstractNumId w:val="27"/>
  </w:num>
  <w:num w:numId="21">
    <w:abstractNumId w:val="34"/>
  </w:num>
  <w:num w:numId="22">
    <w:abstractNumId w:val="20"/>
  </w:num>
  <w:num w:numId="23">
    <w:abstractNumId w:val="31"/>
  </w:num>
  <w:num w:numId="24">
    <w:abstractNumId w:val="25"/>
  </w:num>
  <w:num w:numId="25">
    <w:abstractNumId w:val="17"/>
  </w:num>
  <w:num w:numId="26">
    <w:abstractNumId w:val="24"/>
  </w:num>
  <w:num w:numId="27">
    <w:abstractNumId w:val="30"/>
  </w:num>
  <w:num w:numId="28">
    <w:abstractNumId w:val="32"/>
  </w:num>
  <w:num w:numId="29">
    <w:abstractNumId w:val="21"/>
  </w:num>
  <w:num w:numId="30">
    <w:abstractNumId w:val="14"/>
  </w:num>
  <w:num w:numId="31">
    <w:abstractNumId w:val="26"/>
  </w:num>
  <w:num w:numId="32">
    <w:abstractNumId w:val="15"/>
  </w:num>
  <w:num w:numId="33">
    <w:abstractNumId w:val="19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8"/>
    <w:rsid w:val="00001A58"/>
    <w:rsid w:val="000022B8"/>
    <w:rsid w:val="00007334"/>
    <w:rsid w:val="00010204"/>
    <w:rsid w:val="00010892"/>
    <w:rsid w:val="000219E7"/>
    <w:rsid w:val="00022F8D"/>
    <w:rsid w:val="00025701"/>
    <w:rsid w:val="00032412"/>
    <w:rsid w:val="00032885"/>
    <w:rsid w:val="00034206"/>
    <w:rsid w:val="00042CB4"/>
    <w:rsid w:val="00044F65"/>
    <w:rsid w:val="000536DF"/>
    <w:rsid w:val="00053E6C"/>
    <w:rsid w:val="00061DC5"/>
    <w:rsid w:val="00062A69"/>
    <w:rsid w:val="00063EB2"/>
    <w:rsid w:val="000721CD"/>
    <w:rsid w:val="0008121B"/>
    <w:rsid w:val="0008359D"/>
    <w:rsid w:val="000856AD"/>
    <w:rsid w:val="00093135"/>
    <w:rsid w:val="000A5C02"/>
    <w:rsid w:val="000A6CF1"/>
    <w:rsid w:val="000B0A2B"/>
    <w:rsid w:val="000B14E9"/>
    <w:rsid w:val="000B253C"/>
    <w:rsid w:val="000B2EE9"/>
    <w:rsid w:val="000B4C9B"/>
    <w:rsid w:val="000B6117"/>
    <w:rsid w:val="000C165F"/>
    <w:rsid w:val="000D4C9D"/>
    <w:rsid w:val="000D56BA"/>
    <w:rsid w:val="000F1B74"/>
    <w:rsid w:val="000F3626"/>
    <w:rsid w:val="000F54C4"/>
    <w:rsid w:val="000F5F04"/>
    <w:rsid w:val="000F6C55"/>
    <w:rsid w:val="001007CF"/>
    <w:rsid w:val="00104947"/>
    <w:rsid w:val="00106CEC"/>
    <w:rsid w:val="0011224C"/>
    <w:rsid w:val="0012080C"/>
    <w:rsid w:val="0012098D"/>
    <w:rsid w:val="00121EF0"/>
    <w:rsid w:val="00132DBA"/>
    <w:rsid w:val="001356B0"/>
    <w:rsid w:val="00135F2D"/>
    <w:rsid w:val="001423A4"/>
    <w:rsid w:val="00143597"/>
    <w:rsid w:val="00143CC7"/>
    <w:rsid w:val="00146A1A"/>
    <w:rsid w:val="00150DC1"/>
    <w:rsid w:val="00164175"/>
    <w:rsid w:val="00164A41"/>
    <w:rsid w:val="001730DD"/>
    <w:rsid w:val="00173454"/>
    <w:rsid w:val="00174F38"/>
    <w:rsid w:val="00176186"/>
    <w:rsid w:val="00182D97"/>
    <w:rsid w:val="0018386B"/>
    <w:rsid w:val="00186976"/>
    <w:rsid w:val="001909C8"/>
    <w:rsid w:val="001956AF"/>
    <w:rsid w:val="001A4D26"/>
    <w:rsid w:val="001A5240"/>
    <w:rsid w:val="001A6B47"/>
    <w:rsid w:val="001A7737"/>
    <w:rsid w:val="001B7C26"/>
    <w:rsid w:val="001C3484"/>
    <w:rsid w:val="001C45A8"/>
    <w:rsid w:val="001C4BB5"/>
    <w:rsid w:val="001E2FB2"/>
    <w:rsid w:val="001E3A23"/>
    <w:rsid w:val="001E7E0C"/>
    <w:rsid w:val="001F3154"/>
    <w:rsid w:val="001F3478"/>
    <w:rsid w:val="001F521B"/>
    <w:rsid w:val="001F5D0B"/>
    <w:rsid w:val="00200DA0"/>
    <w:rsid w:val="00202EC7"/>
    <w:rsid w:val="00205D26"/>
    <w:rsid w:val="00211B51"/>
    <w:rsid w:val="002135AA"/>
    <w:rsid w:val="00215C23"/>
    <w:rsid w:val="00220614"/>
    <w:rsid w:val="002213D7"/>
    <w:rsid w:val="00223A55"/>
    <w:rsid w:val="00223F0B"/>
    <w:rsid w:val="00223FCD"/>
    <w:rsid w:val="00226444"/>
    <w:rsid w:val="002275F0"/>
    <w:rsid w:val="00230688"/>
    <w:rsid w:val="002317AA"/>
    <w:rsid w:val="00233475"/>
    <w:rsid w:val="00236291"/>
    <w:rsid w:val="002455E2"/>
    <w:rsid w:val="002658CD"/>
    <w:rsid w:val="00267F1D"/>
    <w:rsid w:val="00271945"/>
    <w:rsid w:val="00271D2B"/>
    <w:rsid w:val="00274D13"/>
    <w:rsid w:val="00276A5B"/>
    <w:rsid w:val="00292BDA"/>
    <w:rsid w:val="00295DE1"/>
    <w:rsid w:val="002962F7"/>
    <w:rsid w:val="002A131E"/>
    <w:rsid w:val="002A4916"/>
    <w:rsid w:val="002A7A01"/>
    <w:rsid w:val="002B36B1"/>
    <w:rsid w:val="002B3F60"/>
    <w:rsid w:val="002B4693"/>
    <w:rsid w:val="002B6A31"/>
    <w:rsid w:val="002B7BCA"/>
    <w:rsid w:val="002C0CA9"/>
    <w:rsid w:val="002C0DB5"/>
    <w:rsid w:val="002C1B44"/>
    <w:rsid w:val="002C2890"/>
    <w:rsid w:val="002C38B7"/>
    <w:rsid w:val="002C7F25"/>
    <w:rsid w:val="002D2024"/>
    <w:rsid w:val="002D2906"/>
    <w:rsid w:val="002D5FA0"/>
    <w:rsid w:val="002E3C33"/>
    <w:rsid w:val="002E512B"/>
    <w:rsid w:val="002E5FC8"/>
    <w:rsid w:val="002F156F"/>
    <w:rsid w:val="002F34A7"/>
    <w:rsid w:val="002F4689"/>
    <w:rsid w:val="002F6885"/>
    <w:rsid w:val="00303585"/>
    <w:rsid w:val="00306083"/>
    <w:rsid w:val="00307692"/>
    <w:rsid w:val="00312511"/>
    <w:rsid w:val="00313BDC"/>
    <w:rsid w:val="00315865"/>
    <w:rsid w:val="00315BBF"/>
    <w:rsid w:val="003175AA"/>
    <w:rsid w:val="00317BEC"/>
    <w:rsid w:val="00320B25"/>
    <w:rsid w:val="0032335F"/>
    <w:rsid w:val="00327674"/>
    <w:rsid w:val="00334176"/>
    <w:rsid w:val="003346AD"/>
    <w:rsid w:val="00337144"/>
    <w:rsid w:val="003411E4"/>
    <w:rsid w:val="00350C0B"/>
    <w:rsid w:val="00352BB2"/>
    <w:rsid w:val="0035481F"/>
    <w:rsid w:val="00354ED3"/>
    <w:rsid w:val="003602FB"/>
    <w:rsid w:val="00360D68"/>
    <w:rsid w:val="00361001"/>
    <w:rsid w:val="00361D56"/>
    <w:rsid w:val="00373F37"/>
    <w:rsid w:val="003764ED"/>
    <w:rsid w:val="0037660D"/>
    <w:rsid w:val="00376AFE"/>
    <w:rsid w:val="00377532"/>
    <w:rsid w:val="0038054D"/>
    <w:rsid w:val="00380F2C"/>
    <w:rsid w:val="003817D6"/>
    <w:rsid w:val="00390856"/>
    <w:rsid w:val="00393CCB"/>
    <w:rsid w:val="003A10A8"/>
    <w:rsid w:val="003A15B6"/>
    <w:rsid w:val="003B2388"/>
    <w:rsid w:val="003B50A8"/>
    <w:rsid w:val="003C0A15"/>
    <w:rsid w:val="003C0AD6"/>
    <w:rsid w:val="003C42AB"/>
    <w:rsid w:val="003C4BC0"/>
    <w:rsid w:val="003C7133"/>
    <w:rsid w:val="003D2E33"/>
    <w:rsid w:val="003D47BC"/>
    <w:rsid w:val="003D74E7"/>
    <w:rsid w:val="003E0909"/>
    <w:rsid w:val="003E28B4"/>
    <w:rsid w:val="003E68A1"/>
    <w:rsid w:val="003E7D60"/>
    <w:rsid w:val="003F1DA3"/>
    <w:rsid w:val="003F26A9"/>
    <w:rsid w:val="003F514D"/>
    <w:rsid w:val="003F7842"/>
    <w:rsid w:val="00400A9A"/>
    <w:rsid w:val="0040286E"/>
    <w:rsid w:val="00403089"/>
    <w:rsid w:val="00410964"/>
    <w:rsid w:val="00410C88"/>
    <w:rsid w:val="004152BC"/>
    <w:rsid w:val="00416253"/>
    <w:rsid w:val="004172C3"/>
    <w:rsid w:val="004173F3"/>
    <w:rsid w:val="00420C40"/>
    <w:rsid w:val="00423CFA"/>
    <w:rsid w:val="00423E4C"/>
    <w:rsid w:val="004316B0"/>
    <w:rsid w:val="00431B76"/>
    <w:rsid w:val="004326FC"/>
    <w:rsid w:val="00432D46"/>
    <w:rsid w:val="0043588F"/>
    <w:rsid w:val="004423A3"/>
    <w:rsid w:val="00443CFF"/>
    <w:rsid w:val="00446360"/>
    <w:rsid w:val="00452915"/>
    <w:rsid w:val="004531C5"/>
    <w:rsid w:val="004540FC"/>
    <w:rsid w:val="004551C6"/>
    <w:rsid w:val="00455DAE"/>
    <w:rsid w:val="00460877"/>
    <w:rsid w:val="004639B1"/>
    <w:rsid w:val="00470EFC"/>
    <w:rsid w:val="00472BE2"/>
    <w:rsid w:val="004758AD"/>
    <w:rsid w:val="004838BB"/>
    <w:rsid w:val="00483F6E"/>
    <w:rsid w:val="004A031A"/>
    <w:rsid w:val="004A5428"/>
    <w:rsid w:val="004B09AD"/>
    <w:rsid w:val="004B1C68"/>
    <w:rsid w:val="004B39F2"/>
    <w:rsid w:val="004B62DA"/>
    <w:rsid w:val="004C3222"/>
    <w:rsid w:val="004C5A93"/>
    <w:rsid w:val="004C5B6F"/>
    <w:rsid w:val="004C6AF3"/>
    <w:rsid w:val="004C7034"/>
    <w:rsid w:val="004E36CC"/>
    <w:rsid w:val="004F16A9"/>
    <w:rsid w:val="004F277A"/>
    <w:rsid w:val="004F2F1C"/>
    <w:rsid w:val="004F6C15"/>
    <w:rsid w:val="0050055C"/>
    <w:rsid w:val="0050692A"/>
    <w:rsid w:val="00522CAF"/>
    <w:rsid w:val="00533665"/>
    <w:rsid w:val="00534071"/>
    <w:rsid w:val="005343FD"/>
    <w:rsid w:val="00540ED1"/>
    <w:rsid w:val="005535A8"/>
    <w:rsid w:val="00555F2F"/>
    <w:rsid w:val="00560FFD"/>
    <w:rsid w:val="00566690"/>
    <w:rsid w:val="00567ADF"/>
    <w:rsid w:val="005704F6"/>
    <w:rsid w:val="005707C4"/>
    <w:rsid w:val="0058059A"/>
    <w:rsid w:val="00580BEA"/>
    <w:rsid w:val="0058270C"/>
    <w:rsid w:val="00584792"/>
    <w:rsid w:val="005858B8"/>
    <w:rsid w:val="0059125C"/>
    <w:rsid w:val="005923B4"/>
    <w:rsid w:val="0059439B"/>
    <w:rsid w:val="005A3161"/>
    <w:rsid w:val="005B31E5"/>
    <w:rsid w:val="005B5BFE"/>
    <w:rsid w:val="005B630F"/>
    <w:rsid w:val="005C52DF"/>
    <w:rsid w:val="005D0F40"/>
    <w:rsid w:val="005D15AD"/>
    <w:rsid w:val="005D31A2"/>
    <w:rsid w:val="005E04F7"/>
    <w:rsid w:val="005E0741"/>
    <w:rsid w:val="005E382B"/>
    <w:rsid w:val="005E404A"/>
    <w:rsid w:val="005E6111"/>
    <w:rsid w:val="005F1205"/>
    <w:rsid w:val="005F19A2"/>
    <w:rsid w:val="005F3813"/>
    <w:rsid w:val="005F7F9D"/>
    <w:rsid w:val="00600F1C"/>
    <w:rsid w:val="00604F78"/>
    <w:rsid w:val="00624568"/>
    <w:rsid w:val="00624B6B"/>
    <w:rsid w:val="00624C29"/>
    <w:rsid w:val="006315A3"/>
    <w:rsid w:val="00640B8F"/>
    <w:rsid w:val="006415C1"/>
    <w:rsid w:val="00641E0B"/>
    <w:rsid w:val="00647804"/>
    <w:rsid w:val="00651FA0"/>
    <w:rsid w:val="0065454E"/>
    <w:rsid w:val="0066025E"/>
    <w:rsid w:val="00666CF3"/>
    <w:rsid w:val="00672C78"/>
    <w:rsid w:val="006774D2"/>
    <w:rsid w:val="0068302F"/>
    <w:rsid w:val="00683761"/>
    <w:rsid w:val="0069086C"/>
    <w:rsid w:val="006A208C"/>
    <w:rsid w:val="006A40D4"/>
    <w:rsid w:val="006A5804"/>
    <w:rsid w:val="006A6638"/>
    <w:rsid w:val="006B37EE"/>
    <w:rsid w:val="006B5579"/>
    <w:rsid w:val="006B7B13"/>
    <w:rsid w:val="006C05F5"/>
    <w:rsid w:val="006C4964"/>
    <w:rsid w:val="006E1D02"/>
    <w:rsid w:val="006F2D4E"/>
    <w:rsid w:val="00705563"/>
    <w:rsid w:val="00713FB0"/>
    <w:rsid w:val="007146BA"/>
    <w:rsid w:val="0071532D"/>
    <w:rsid w:val="00722157"/>
    <w:rsid w:val="00722573"/>
    <w:rsid w:val="00727245"/>
    <w:rsid w:val="00736EF2"/>
    <w:rsid w:val="007465FE"/>
    <w:rsid w:val="00753DF8"/>
    <w:rsid w:val="00756B10"/>
    <w:rsid w:val="00757CBF"/>
    <w:rsid w:val="00760123"/>
    <w:rsid w:val="00761532"/>
    <w:rsid w:val="00762CB1"/>
    <w:rsid w:val="00764724"/>
    <w:rsid w:val="00766622"/>
    <w:rsid w:val="007750B6"/>
    <w:rsid w:val="00782481"/>
    <w:rsid w:val="00787D4E"/>
    <w:rsid w:val="007915A2"/>
    <w:rsid w:val="007A3671"/>
    <w:rsid w:val="007A5994"/>
    <w:rsid w:val="007A6510"/>
    <w:rsid w:val="007A66C1"/>
    <w:rsid w:val="007B4C01"/>
    <w:rsid w:val="007C0D3A"/>
    <w:rsid w:val="007D11EB"/>
    <w:rsid w:val="007E164F"/>
    <w:rsid w:val="007E2CB6"/>
    <w:rsid w:val="007E68A8"/>
    <w:rsid w:val="007F4FE3"/>
    <w:rsid w:val="008008FC"/>
    <w:rsid w:val="00822EDE"/>
    <w:rsid w:val="008238D7"/>
    <w:rsid w:val="00827337"/>
    <w:rsid w:val="008278D5"/>
    <w:rsid w:val="008336E8"/>
    <w:rsid w:val="0084063F"/>
    <w:rsid w:val="00846EB6"/>
    <w:rsid w:val="00857C89"/>
    <w:rsid w:val="0086275B"/>
    <w:rsid w:val="00862D89"/>
    <w:rsid w:val="00864DB4"/>
    <w:rsid w:val="00864FB7"/>
    <w:rsid w:val="00865814"/>
    <w:rsid w:val="00871B02"/>
    <w:rsid w:val="0087626E"/>
    <w:rsid w:val="008775A3"/>
    <w:rsid w:val="008826BE"/>
    <w:rsid w:val="0089041C"/>
    <w:rsid w:val="00890C08"/>
    <w:rsid w:val="008916AE"/>
    <w:rsid w:val="00891C42"/>
    <w:rsid w:val="008929E9"/>
    <w:rsid w:val="0089560F"/>
    <w:rsid w:val="008A5832"/>
    <w:rsid w:val="008B24D8"/>
    <w:rsid w:val="008B2763"/>
    <w:rsid w:val="008B620A"/>
    <w:rsid w:val="008C33FE"/>
    <w:rsid w:val="008C3929"/>
    <w:rsid w:val="008C6634"/>
    <w:rsid w:val="008C7048"/>
    <w:rsid w:val="008D0C95"/>
    <w:rsid w:val="008D31D2"/>
    <w:rsid w:val="008D3E21"/>
    <w:rsid w:val="008E11F4"/>
    <w:rsid w:val="008E1419"/>
    <w:rsid w:val="008E3354"/>
    <w:rsid w:val="008F062F"/>
    <w:rsid w:val="008F1A31"/>
    <w:rsid w:val="00901128"/>
    <w:rsid w:val="0090236E"/>
    <w:rsid w:val="009054B4"/>
    <w:rsid w:val="00911A0F"/>
    <w:rsid w:val="00921B4A"/>
    <w:rsid w:val="009249B7"/>
    <w:rsid w:val="009256B6"/>
    <w:rsid w:val="00930F8F"/>
    <w:rsid w:val="009375BE"/>
    <w:rsid w:val="00941DE4"/>
    <w:rsid w:val="00943917"/>
    <w:rsid w:val="0094594B"/>
    <w:rsid w:val="00946248"/>
    <w:rsid w:val="009465F8"/>
    <w:rsid w:val="00947926"/>
    <w:rsid w:val="00952099"/>
    <w:rsid w:val="00955DE6"/>
    <w:rsid w:val="00960F39"/>
    <w:rsid w:val="009611CB"/>
    <w:rsid w:val="00961B69"/>
    <w:rsid w:val="00962CAB"/>
    <w:rsid w:val="00964DA0"/>
    <w:rsid w:val="00967A4B"/>
    <w:rsid w:val="00970273"/>
    <w:rsid w:val="00977BEE"/>
    <w:rsid w:val="00977EB7"/>
    <w:rsid w:val="00982979"/>
    <w:rsid w:val="00995281"/>
    <w:rsid w:val="00995DBF"/>
    <w:rsid w:val="0099651A"/>
    <w:rsid w:val="009966BD"/>
    <w:rsid w:val="009A5C98"/>
    <w:rsid w:val="009A6BC4"/>
    <w:rsid w:val="009C08F0"/>
    <w:rsid w:val="009C0EDA"/>
    <w:rsid w:val="009C74E0"/>
    <w:rsid w:val="009E149F"/>
    <w:rsid w:val="009E183D"/>
    <w:rsid w:val="009E392C"/>
    <w:rsid w:val="009E583B"/>
    <w:rsid w:val="009E6588"/>
    <w:rsid w:val="009F4654"/>
    <w:rsid w:val="009F658E"/>
    <w:rsid w:val="00A02657"/>
    <w:rsid w:val="00A0379D"/>
    <w:rsid w:val="00A044AE"/>
    <w:rsid w:val="00A1151F"/>
    <w:rsid w:val="00A1696C"/>
    <w:rsid w:val="00A245D4"/>
    <w:rsid w:val="00A251F5"/>
    <w:rsid w:val="00A2595B"/>
    <w:rsid w:val="00A30218"/>
    <w:rsid w:val="00A35EF6"/>
    <w:rsid w:val="00A40389"/>
    <w:rsid w:val="00A40A67"/>
    <w:rsid w:val="00A40BB0"/>
    <w:rsid w:val="00A42B17"/>
    <w:rsid w:val="00A42CC4"/>
    <w:rsid w:val="00A44662"/>
    <w:rsid w:val="00A44F31"/>
    <w:rsid w:val="00A47C9F"/>
    <w:rsid w:val="00A47CDD"/>
    <w:rsid w:val="00A52FEC"/>
    <w:rsid w:val="00A5487D"/>
    <w:rsid w:val="00A562CA"/>
    <w:rsid w:val="00A5639D"/>
    <w:rsid w:val="00A56DB4"/>
    <w:rsid w:val="00A56F68"/>
    <w:rsid w:val="00A6710A"/>
    <w:rsid w:val="00A732B2"/>
    <w:rsid w:val="00A73A8D"/>
    <w:rsid w:val="00A756F6"/>
    <w:rsid w:val="00A92B26"/>
    <w:rsid w:val="00AA2882"/>
    <w:rsid w:val="00AA2BA1"/>
    <w:rsid w:val="00AB0418"/>
    <w:rsid w:val="00AB10D6"/>
    <w:rsid w:val="00AB1A6F"/>
    <w:rsid w:val="00AB3990"/>
    <w:rsid w:val="00AB3DC2"/>
    <w:rsid w:val="00AC0C1E"/>
    <w:rsid w:val="00AC1734"/>
    <w:rsid w:val="00AC2231"/>
    <w:rsid w:val="00AC68EF"/>
    <w:rsid w:val="00AD1F57"/>
    <w:rsid w:val="00AD69D2"/>
    <w:rsid w:val="00AD6C3F"/>
    <w:rsid w:val="00AD6E94"/>
    <w:rsid w:val="00AE1C55"/>
    <w:rsid w:val="00B10CE2"/>
    <w:rsid w:val="00B1549F"/>
    <w:rsid w:val="00B17921"/>
    <w:rsid w:val="00B26372"/>
    <w:rsid w:val="00B316DC"/>
    <w:rsid w:val="00B32704"/>
    <w:rsid w:val="00B43239"/>
    <w:rsid w:val="00B4629A"/>
    <w:rsid w:val="00B57F0F"/>
    <w:rsid w:val="00B6321E"/>
    <w:rsid w:val="00B643DF"/>
    <w:rsid w:val="00B64697"/>
    <w:rsid w:val="00B65A68"/>
    <w:rsid w:val="00B66BEE"/>
    <w:rsid w:val="00B750EE"/>
    <w:rsid w:val="00B77EDE"/>
    <w:rsid w:val="00B80576"/>
    <w:rsid w:val="00B866F3"/>
    <w:rsid w:val="00B87523"/>
    <w:rsid w:val="00B90481"/>
    <w:rsid w:val="00B90F14"/>
    <w:rsid w:val="00B93B39"/>
    <w:rsid w:val="00B97381"/>
    <w:rsid w:val="00BA2D42"/>
    <w:rsid w:val="00BA7563"/>
    <w:rsid w:val="00BA7B06"/>
    <w:rsid w:val="00BB1C16"/>
    <w:rsid w:val="00BB5DBB"/>
    <w:rsid w:val="00BB7E86"/>
    <w:rsid w:val="00BC4B8C"/>
    <w:rsid w:val="00BC4CB3"/>
    <w:rsid w:val="00BD12D9"/>
    <w:rsid w:val="00BD48FB"/>
    <w:rsid w:val="00BE2062"/>
    <w:rsid w:val="00BF140D"/>
    <w:rsid w:val="00BF1ECE"/>
    <w:rsid w:val="00BF5E71"/>
    <w:rsid w:val="00C0189D"/>
    <w:rsid w:val="00C054FD"/>
    <w:rsid w:val="00C0673B"/>
    <w:rsid w:val="00C07A11"/>
    <w:rsid w:val="00C13F64"/>
    <w:rsid w:val="00C158B4"/>
    <w:rsid w:val="00C22690"/>
    <w:rsid w:val="00C23A6F"/>
    <w:rsid w:val="00C243F6"/>
    <w:rsid w:val="00C26573"/>
    <w:rsid w:val="00C265A1"/>
    <w:rsid w:val="00C4051C"/>
    <w:rsid w:val="00C419D9"/>
    <w:rsid w:val="00C42890"/>
    <w:rsid w:val="00C54D09"/>
    <w:rsid w:val="00C6043A"/>
    <w:rsid w:val="00C60B59"/>
    <w:rsid w:val="00C662DA"/>
    <w:rsid w:val="00C718F4"/>
    <w:rsid w:val="00C74A13"/>
    <w:rsid w:val="00C7622D"/>
    <w:rsid w:val="00C77D1C"/>
    <w:rsid w:val="00C87B41"/>
    <w:rsid w:val="00C920C9"/>
    <w:rsid w:val="00C92290"/>
    <w:rsid w:val="00C958E7"/>
    <w:rsid w:val="00CA0230"/>
    <w:rsid w:val="00CA1F11"/>
    <w:rsid w:val="00CA4195"/>
    <w:rsid w:val="00CA532A"/>
    <w:rsid w:val="00CB0D00"/>
    <w:rsid w:val="00CB4D2E"/>
    <w:rsid w:val="00CC04A1"/>
    <w:rsid w:val="00CC253F"/>
    <w:rsid w:val="00CC3D98"/>
    <w:rsid w:val="00CE7473"/>
    <w:rsid w:val="00D01F9B"/>
    <w:rsid w:val="00D11B2F"/>
    <w:rsid w:val="00D14E48"/>
    <w:rsid w:val="00D26267"/>
    <w:rsid w:val="00D3215D"/>
    <w:rsid w:val="00D429D7"/>
    <w:rsid w:val="00D55F8D"/>
    <w:rsid w:val="00D60A60"/>
    <w:rsid w:val="00D60D0A"/>
    <w:rsid w:val="00D62844"/>
    <w:rsid w:val="00D63D63"/>
    <w:rsid w:val="00D6475F"/>
    <w:rsid w:val="00D66299"/>
    <w:rsid w:val="00D8504F"/>
    <w:rsid w:val="00D867B2"/>
    <w:rsid w:val="00D92138"/>
    <w:rsid w:val="00D93A9A"/>
    <w:rsid w:val="00D93C5A"/>
    <w:rsid w:val="00D9595F"/>
    <w:rsid w:val="00D96A60"/>
    <w:rsid w:val="00DA13CF"/>
    <w:rsid w:val="00DA1A61"/>
    <w:rsid w:val="00DA4B4A"/>
    <w:rsid w:val="00DA5876"/>
    <w:rsid w:val="00DA6568"/>
    <w:rsid w:val="00DB56B1"/>
    <w:rsid w:val="00DB610F"/>
    <w:rsid w:val="00DB6889"/>
    <w:rsid w:val="00DB6F31"/>
    <w:rsid w:val="00DC03BD"/>
    <w:rsid w:val="00DC179D"/>
    <w:rsid w:val="00DC42F3"/>
    <w:rsid w:val="00DD0EE6"/>
    <w:rsid w:val="00DD2AF2"/>
    <w:rsid w:val="00DE6947"/>
    <w:rsid w:val="00DE7F52"/>
    <w:rsid w:val="00DF112D"/>
    <w:rsid w:val="00DF205B"/>
    <w:rsid w:val="00DF2468"/>
    <w:rsid w:val="00DF7BC3"/>
    <w:rsid w:val="00E01EF6"/>
    <w:rsid w:val="00E01EF9"/>
    <w:rsid w:val="00E02847"/>
    <w:rsid w:val="00E0528C"/>
    <w:rsid w:val="00E06175"/>
    <w:rsid w:val="00E06A4E"/>
    <w:rsid w:val="00E11B77"/>
    <w:rsid w:val="00E13C33"/>
    <w:rsid w:val="00E13C44"/>
    <w:rsid w:val="00E22D87"/>
    <w:rsid w:val="00E25B2D"/>
    <w:rsid w:val="00E26126"/>
    <w:rsid w:val="00E27C07"/>
    <w:rsid w:val="00E33543"/>
    <w:rsid w:val="00E33EA3"/>
    <w:rsid w:val="00E3795E"/>
    <w:rsid w:val="00E4078A"/>
    <w:rsid w:val="00E428C2"/>
    <w:rsid w:val="00E438A1"/>
    <w:rsid w:val="00E4653E"/>
    <w:rsid w:val="00E54057"/>
    <w:rsid w:val="00E5487B"/>
    <w:rsid w:val="00E56679"/>
    <w:rsid w:val="00E64AA6"/>
    <w:rsid w:val="00E657AD"/>
    <w:rsid w:val="00E707B3"/>
    <w:rsid w:val="00E73B71"/>
    <w:rsid w:val="00E75E54"/>
    <w:rsid w:val="00E87CBE"/>
    <w:rsid w:val="00E907F0"/>
    <w:rsid w:val="00E96643"/>
    <w:rsid w:val="00E97A03"/>
    <w:rsid w:val="00EA2457"/>
    <w:rsid w:val="00EA31CC"/>
    <w:rsid w:val="00EA4F7A"/>
    <w:rsid w:val="00EA5691"/>
    <w:rsid w:val="00EB0CEB"/>
    <w:rsid w:val="00EB408F"/>
    <w:rsid w:val="00EB4D15"/>
    <w:rsid w:val="00EB5C6E"/>
    <w:rsid w:val="00EB6D6D"/>
    <w:rsid w:val="00EC0E6E"/>
    <w:rsid w:val="00EC5AFB"/>
    <w:rsid w:val="00EC61CF"/>
    <w:rsid w:val="00ED1CA3"/>
    <w:rsid w:val="00ED2B08"/>
    <w:rsid w:val="00ED31EA"/>
    <w:rsid w:val="00ED3B55"/>
    <w:rsid w:val="00ED3F3E"/>
    <w:rsid w:val="00ED5926"/>
    <w:rsid w:val="00EE00EF"/>
    <w:rsid w:val="00EE1EEE"/>
    <w:rsid w:val="00EF23EA"/>
    <w:rsid w:val="00EF6060"/>
    <w:rsid w:val="00F06042"/>
    <w:rsid w:val="00F15904"/>
    <w:rsid w:val="00F16D1F"/>
    <w:rsid w:val="00F243A9"/>
    <w:rsid w:val="00F24949"/>
    <w:rsid w:val="00F253DC"/>
    <w:rsid w:val="00F26B88"/>
    <w:rsid w:val="00F30036"/>
    <w:rsid w:val="00F31866"/>
    <w:rsid w:val="00F467B0"/>
    <w:rsid w:val="00F50F0D"/>
    <w:rsid w:val="00F64F5B"/>
    <w:rsid w:val="00F705AF"/>
    <w:rsid w:val="00F728B8"/>
    <w:rsid w:val="00F74969"/>
    <w:rsid w:val="00F76DA0"/>
    <w:rsid w:val="00F83C1E"/>
    <w:rsid w:val="00F958D2"/>
    <w:rsid w:val="00FA0BD0"/>
    <w:rsid w:val="00FA56EB"/>
    <w:rsid w:val="00FA6539"/>
    <w:rsid w:val="00FB2E4F"/>
    <w:rsid w:val="00FB4589"/>
    <w:rsid w:val="00FB45A0"/>
    <w:rsid w:val="00FB5121"/>
    <w:rsid w:val="00FC015C"/>
    <w:rsid w:val="00FC15D1"/>
    <w:rsid w:val="00FC4CD3"/>
    <w:rsid w:val="00FD5D22"/>
    <w:rsid w:val="00FD74AA"/>
    <w:rsid w:val="00FE0019"/>
    <w:rsid w:val="00FE3A22"/>
    <w:rsid w:val="00FE4751"/>
    <w:rsid w:val="00FE51A4"/>
    <w:rsid w:val="00FE7811"/>
    <w:rsid w:val="00FF0DC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C5E55"/>
  <w15:chartTrackingRefBased/>
  <w15:docId w15:val="{8F903102-65DF-4AE7-A691-B56ECBED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041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AB0418"/>
    <w:pPr>
      <w:keepNext/>
      <w:keepLines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418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AB041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customStyle="1" w:styleId="WW8Num1z0">
    <w:name w:val="WW8Num1z0"/>
    <w:rsid w:val="00AB0418"/>
  </w:style>
  <w:style w:type="character" w:customStyle="1" w:styleId="WW8Num1z1">
    <w:name w:val="WW8Num1z1"/>
    <w:rsid w:val="00AB0418"/>
  </w:style>
  <w:style w:type="character" w:customStyle="1" w:styleId="WW8Num1z2">
    <w:name w:val="WW8Num1z2"/>
    <w:rsid w:val="00AB0418"/>
  </w:style>
  <w:style w:type="character" w:customStyle="1" w:styleId="WW8Num1z3">
    <w:name w:val="WW8Num1z3"/>
    <w:rsid w:val="00AB0418"/>
  </w:style>
  <w:style w:type="character" w:customStyle="1" w:styleId="WW8Num1z4">
    <w:name w:val="WW8Num1z4"/>
    <w:rsid w:val="00AB0418"/>
  </w:style>
  <w:style w:type="character" w:customStyle="1" w:styleId="WW8Num1z5">
    <w:name w:val="WW8Num1z5"/>
    <w:rsid w:val="00AB0418"/>
  </w:style>
  <w:style w:type="character" w:customStyle="1" w:styleId="WW8Num1z6">
    <w:name w:val="WW8Num1z6"/>
    <w:rsid w:val="00AB0418"/>
  </w:style>
  <w:style w:type="character" w:customStyle="1" w:styleId="WW8Num1z7">
    <w:name w:val="WW8Num1z7"/>
    <w:rsid w:val="00AB0418"/>
  </w:style>
  <w:style w:type="character" w:customStyle="1" w:styleId="WW8Num1z8">
    <w:name w:val="WW8Num1z8"/>
    <w:rsid w:val="00AB0418"/>
  </w:style>
  <w:style w:type="character" w:customStyle="1" w:styleId="WW8Num2z0">
    <w:name w:val="WW8Num2z0"/>
    <w:rsid w:val="00AB0418"/>
    <w:rPr>
      <w:rFonts w:ascii="Symbol" w:hAnsi="Symbol" w:cs="Symbol" w:hint="default"/>
      <w:sz w:val="22"/>
      <w:szCs w:val="22"/>
      <w:lang w:val="de-DE" w:eastAsia="hr-HR"/>
    </w:rPr>
  </w:style>
  <w:style w:type="character" w:customStyle="1" w:styleId="WW8Num3z0">
    <w:name w:val="WW8Num3z0"/>
    <w:rsid w:val="00AB0418"/>
    <w:rPr>
      <w:rFonts w:ascii="Times New Roman" w:hAnsi="Times New Roman" w:cs="Times New Roman" w:hint="default"/>
      <w:sz w:val="22"/>
      <w:szCs w:val="22"/>
      <w:lang w:val="hr-HR" w:eastAsia="hr-HR"/>
    </w:rPr>
  </w:style>
  <w:style w:type="character" w:customStyle="1" w:styleId="WW8Num4z0">
    <w:name w:val="WW8Num4z0"/>
    <w:rsid w:val="00AB0418"/>
    <w:rPr>
      <w:rFonts w:ascii="Symbol" w:hAnsi="Symbol" w:cs="Symbol" w:hint="default"/>
      <w:sz w:val="22"/>
      <w:szCs w:val="22"/>
      <w:lang w:val="de-DE" w:eastAsia="hr-HR"/>
    </w:rPr>
  </w:style>
  <w:style w:type="character" w:customStyle="1" w:styleId="WW8Num5z0">
    <w:name w:val="WW8Num5z0"/>
    <w:rsid w:val="00AB0418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6z0">
    <w:name w:val="WW8Num6z0"/>
    <w:rsid w:val="00AB0418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7z0">
    <w:name w:val="WW8Num7z0"/>
    <w:rsid w:val="00AB0418"/>
    <w:rPr>
      <w:rFonts w:ascii="Times New Roman" w:hAnsi="Times New Roman" w:cs="Times New Roman" w:hint="default"/>
      <w:sz w:val="22"/>
      <w:szCs w:val="22"/>
      <w:lang w:val="de-DE" w:eastAsia="hr-HR"/>
    </w:rPr>
  </w:style>
  <w:style w:type="character" w:customStyle="1" w:styleId="WW8Num8z0">
    <w:name w:val="WW8Num8z0"/>
    <w:rsid w:val="00AB0418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9z0">
    <w:name w:val="WW8Num9z0"/>
    <w:rsid w:val="00AB0418"/>
    <w:rPr>
      <w:rFonts w:ascii="Symbol" w:hAnsi="Symbol" w:cs="Symbol" w:hint="default"/>
      <w:color w:val="000000"/>
      <w:sz w:val="22"/>
      <w:szCs w:val="22"/>
      <w:lang w:val="hr-HR" w:eastAsia="hr-HR"/>
    </w:rPr>
  </w:style>
  <w:style w:type="character" w:customStyle="1" w:styleId="WW8Num10z0">
    <w:name w:val="WW8Num10z0"/>
    <w:rsid w:val="00AB0418"/>
    <w:rPr>
      <w:rFonts w:ascii="Symbol" w:hAnsi="Symbol" w:cs="Symbol" w:hint="default"/>
      <w:sz w:val="22"/>
      <w:szCs w:val="22"/>
      <w:lang w:val="de-DE"/>
    </w:rPr>
  </w:style>
  <w:style w:type="character" w:customStyle="1" w:styleId="WW8Num11z0">
    <w:name w:val="WW8Num11z0"/>
    <w:rsid w:val="00AB0418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12z0">
    <w:name w:val="WW8Num12z0"/>
    <w:rsid w:val="00AB0418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13z0">
    <w:name w:val="WW8Num13z0"/>
    <w:rsid w:val="00AB0418"/>
    <w:rPr>
      <w:rFonts w:ascii="Symbol" w:hAnsi="Symbol" w:cs="Symbol" w:hint="default"/>
      <w:sz w:val="22"/>
      <w:szCs w:val="22"/>
    </w:rPr>
  </w:style>
  <w:style w:type="character" w:customStyle="1" w:styleId="WW8Num14z0">
    <w:name w:val="WW8Num14z0"/>
    <w:rsid w:val="00AB0418"/>
    <w:rPr>
      <w:rFonts w:ascii="Symbol" w:hAnsi="Symbol" w:cs="Symbol" w:hint="default"/>
      <w:sz w:val="22"/>
      <w:szCs w:val="22"/>
      <w:lang w:val="de-DE" w:eastAsia="hr-HR"/>
    </w:rPr>
  </w:style>
  <w:style w:type="character" w:customStyle="1" w:styleId="WW8Num15z0">
    <w:name w:val="WW8Num15z0"/>
    <w:rsid w:val="00AB0418"/>
    <w:rPr>
      <w:rFonts w:ascii="Symbol" w:hAnsi="Symbol" w:cs="Symbol" w:hint="default"/>
    </w:rPr>
  </w:style>
  <w:style w:type="character" w:customStyle="1" w:styleId="WW8Num15z1">
    <w:name w:val="WW8Num15z1"/>
    <w:rsid w:val="00AB0418"/>
    <w:rPr>
      <w:rFonts w:ascii="Courier New" w:hAnsi="Courier New" w:cs="Courier New" w:hint="default"/>
    </w:rPr>
  </w:style>
  <w:style w:type="character" w:customStyle="1" w:styleId="WW8Num15z2">
    <w:name w:val="WW8Num15z2"/>
    <w:rsid w:val="00AB0418"/>
    <w:rPr>
      <w:rFonts w:ascii="Wingdings" w:hAnsi="Wingdings" w:cs="Wingdings" w:hint="default"/>
    </w:rPr>
  </w:style>
  <w:style w:type="character" w:customStyle="1" w:styleId="WW8Num16z0">
    <w:name w:val="WW8Num16z0"/>
    <w:rsid w:val="00AB0418"/>
    <w:rPr>
      <w:rFonts w:ascii="Symbol" w:hAnsi="Symbol" w:cs="Symbol" w:hint="default"/>
    </w:rPr>
  </w:style>
  <w:style w:type="character" w:customStyle="1" w:styleId="WW8Num16z1">
    <w:name w:val="WW8Num16z1"/>
    <w:rsid w:val="00AB0418"/>
    <w:rPr>
      <w:rFonts w:ascii="Courier New" w:hAnsi="Courier New" w:cs="Courier New" w:hint="default"/>
    </w:rPr>
  </w:style>
  <w:style w:type="character" w:customStyle="1" w:styleId="WW8Num16z2">
    <w:name w:val="WW8Num16z2"/>
    <w:rsid w:val="00AB0418"/>
    <w:rPr>
      <w:rFonts w:ascii="Wingdings" w:hAnsi="Wingdings" w:cs="Wingdings" w:hint="default"/>
    </w:rPr>
  </w:style>
  <w:style w:type="character" w:customStyle="1" w:styleId="WW8Num17z0">
    <w:name w:val="WW8Num17z0"/>
    <w:rsid w:val="00AB0418"/>
    <w:rPr>
      <w:rFonts w:ascii="Symbol" w:hAnsi="Symbol" w:cs="Symbol" w:hint="default"/>
    </w:rPr>
  </w:style>
  <w:style w:type="character" w:customStyle="1" w:styleId="WW8Num17z1">
    <w:name w:val="WW8Num17z1"/>
    <w:rsid w:val="00AB0418"/>
    <w:rPr>
      <w:rFonts w:ascii="Courier New" w:hAnsi="Courier New" w:cs="Courier New" w:hint="default"/>
    </w:rPr>
  </w:style>
  <w:style w:type="character" w:customStyle="1" w:styleId="WW8Num17z2">
    <w:name w:val="WW8Num17z2"/>
    <w:rsid w:val="00AB0418"/>
    <w:rPr>
      <w:rFonts w:ascii="Wingdings" w:hAnsi="Wingdings" w:cs="Wingdings" w:hint="default"/>
    </w:rPr>
  </w:style>
  <w:style w:type="character" w:customStyle="1" w:styleId="WW8Num2z1">
    <w:name w:val="WW8Num2z1"/>
    <w:rsid w:val="00AB0418"/>
    <w:rPr>
      <w:rFonts w:ascii="Courier New" w:hAnsi="Courier New" w:cs="Courier New" w:hint="default"/>
    </w:rPr>
  </w:style>
  <w:style w:type="character" w:customStyle="1" w:styleId="WW8Num2z2">
    <w:name w:val="WW8Num2z2"/>
    <w:rsid w:val="00AB0418"/>
    <w:rPr>
      <w:rFonts w:ascii="Wingdings" w:hAnsi="Wingdings" w:cs="Wingdings" w:hint="default"/>
    </w:rPr>
  </w:style>
  <w:style w:type="character" w:customStyle="1" w:styleId="WW8Num3z1">
    <w:name w:val="WW8Num3z1"/>
    <w:rsid w:val="00AB0418"/>
    <w:rPr>
      <w:rFonts w:ascii="Courier New" w:hAnsi="Courier New" w:cs="Courier New" w:hint="default"/>
    </w:rPr>
  </w:style>
  <w:style w:type="character" w:customStyle="1" w:styleId="WW8Num3z2">
    <w:name w:val="WW8Num3z2"/>
    <w:rsid w:val="00AB0418"/>
    <w:rPr>
      <w:rFonts w:ascii="Wingdings" w:hAnsi="Wingdings" w:cs="Wingdings" w:hint="default"/>
    </w:rPr>
  </w:style>
  <w:style w:type="character" w:customStyle="1" w:styleId="WW8Num3z3">
    <w:name w:val="WW8Num3z3"/>
    <w:rsid w:val="00AB0418"/>
    <w:rPr>
      <w:rFonts w:ascii="Symbol" w:hAnsi="Symbol" w:cs="Symbol" w:hint="default"/>
    </w:rPr>
  </w:style>
  <w:style w:type="character" w:customStyle="1" w:styleId="WW8Num4z1">
    <w:name w:val="WW8Num4z1"/>
    <w:rsid w:val="00AB0418"/>
    <w:rPr>
      <w:rFonts w:ascii="Courier New" w:hAnsi="Courier New" w:cs="Courier New" w:hint="default"/>
    </w:rPr>
  </w:style>
  <w:style w:type="character" w:customStyle="1" w:styleId="WW8Num4z2">
    <w:name w:val="WW8Num4z2"/>
    <w:rsid w:val="00AB0418"/>
    <w:rPr>
      <w:rFonts w:ascii="Wingdings" w:hAnsi="Wingdings" w:cs="Wingdings" w:hint="default"/>
    </w:rPr>
  </w:style>
  <w:style w:type="character" w:customStyle="1" w:styleId="WW8Num5z1">
    <w:name w:val="WW8Num5z1"/>
    <w:rsid w:val="00AB0418"/>
    <w:rPr>
      <w:rFonts w:ascii="Courier New" w:hAnsi="Courier New" w:cs="Courier New" w:hint="default"/>
    </w:rPr>
  </w:style>
  <w:style w:type="character" w:customStyle="1" w:styleId="WW8Num5z2">
    <w:name w:val="WW8Num5z2"/>
    <w:rsid w:val="00AB0418"/>
    <w:rPr>
      <w:rFonts w:ascii="Wingdings" w:hAnsi="Wingdings" w:cs="Wingdings" w:hint="default"/>
    </w:rPr>
  </w:style>
  <w:style w:type="character" w:customStyle="1" w:styleId="WW8Num6z1">
    <w:name w:val="WW8Num6z1"/>
    <w:rsid w:val="00AB0418"/>
    <w:rPr>
      <w:rFonts w:ascii="Courier New" w:hAnsi="Courier New" w:cs="Courier New" w:hint="default"/>
    </w:rPr>
  </w:style>
  <w:style w:type="character" w:customStyle="1" w:styleId="WW8Num6z2">
    <w:name w:val="WW8Num6z2"/>
    <w:rsid w:val="00AB0418"/>
    <w:rPr>
      <w:rFonts w:ascii="Wingdings" w:hAnsi="Wingdings" w:cs="Wingdings" w:hint="default"/>
    </w:rPr>
  </w:style>
  <w:style w:type="character" w:customStyle="1" w:styleId="WW8Num7z1">
    <w:name w:val="WW8Num7z1"/>
    <w:rsid w:val="00AB0418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  <w:rsid w:val="00AB0418"/>
    <w:rPr>
      <w:rFonts w:ascii="Wingdings" w:hAnsi="Wingdings" w:cs="Wingdings" w:hint="default"/>
    </w:rPr>
  </w:style>
  <w:style w:type="character" w:customStyle="1" w:styleId="WW8Num7z4">
    <w:name w:val="WW8Num7z4"/>
    <w:rsid w:val="00AB0418"/>
    <w:rPr>
      <w:rFonts w:ascii="Courier New" w:hAnsi="Courier New" w:cs="Courier New" w:hint="default"/>
    </w:rPr>
  </w:style>
  <w:style w:type="character" w:customStyle="1" w:styleId="WW8Num8z1">
    <w:name w:val="WW8Num8z1"/>
    <w:rsid w:val="00AB0418"/>
    <w:rPr>
      <w:rFonts w:ascii="Courier New" w:hAnsi="Courier New" w:cs="Courier New" w:hint="default"/>
    </w:rPr>
  </w:style>
  <w:style w:type="character" w:customStyle="1" w:styleId="WW8Num8z2">
    <w:name w:val="WW8Num8z2"/>
    <w:rsid w:val="00AB0418"/>
    <w:rPr>
      <w:rFonts w:ascii="Wingdings" w:hAnsi="Wingdings" w:cs="Wingdings" w:hint="default"/>
    </w:rPr>
  </w:style>
  <w:style w:type="character" w:customStyle="1" w:styleId="WW8Num8z3">
    <w:name w:val="WW8Num8z3"/>
    <w:rsid w:val="00AB0418"/>
    <w:rPr>
      <w:rFonts w:ascii="Symbol" w:hAnsi="Symbol" w:cs="Symbol" w:hint="default"/>
    </w:rPr>
  </w:style>
  <w:style w:type="character" w:customStyle="1" w:styleId="WW8Num9z1">
    <w:name w:val="WW8Num9z1"/>
    <w:rsid w:val="00AB0418"/>
    <w:rPr>
      <w:rFonts w:ascii="Courier New" w:hAnsi="Courier New" w:cs="Courier New" w:hint="default"/>
    </w:rPr>
  </w:style>
  <w:style w:type="character" w:customStyle="1" w:styleId="WW8Num9z2">
    <w:name w:val="WW8Num9z2"/>
    <w:rsid w:val="00AB0418"/>
    <w:rPr>
      <w:rFonts w:ascii="Wingdings" w:hAnsi="Wingdings" w:cs="Wingdings" w:hint="default"/>
    </w:rPr>
  </w:style>
  <w:style w:type="character" w:customStyle="1" w:styleId="WW8Num10z1">
    <w:name w:val="WW8Num10z1"/>
    <w:rsid w:val="00AB0418"/>
    <w:rPr>
      <w:rFonts w:ascii="Courier New" w:hAnsi="Courier New" w:cs="Courier New" w:hint="default"/>
    </w:rPr>
  </w:style>
  <w:style w:type="character" w:customStyle="1" w:styleId="WW8Num10z2">
    <w:name w:val="WW8Num10z2"/>
    <w:rsid w:val="00AB0418"/>
    <w:rPr>
      <w:rFonts w:ascii="Wingdings" w:hAnsi="Wingdings" w:cs="Wingdings" w:hint="default"/>
    </w:rPr>
  </w:style>
  <w:style w:type="character" w:customStyle="1" w:styleId="WW8Num11z1">
    <w:name w:val="WW8Num11z1"/>
    <w:rsid w:val="00AB0418"/>
    <w:rPr>
      <w:rFonts w:ascii="Courier New" w:hAnsi="Courier New" w:cs="Courier New" w:hint="default"/>
    </w:rPr>
  </w:style>
  <w:style w:type="character" w:customStyle="1" w:styleId="WW8Num11z2">
    <w:name w:val="WW8Num11z2"/>
    <w:rsid w:val="00AB0418"/>
    <w:rPr>
      <w:rFonts w:ascii="Wingdings" w:hAnsi="Wingdings" w:cs="Wingdings" w:hint="default"/>
    </w:rPr>
  </w:style>
  <w:style w:type="character" w:customStyle="1" w:styleId="WW8Num12z1">
    <w:name w:val="WW8Num12z1"/>
    <w:rsid w:val="00AB0418"/>
    <w:rPr>
      <w:rFonts w:ascii="Courier New" w:hAnsi="Courier New" w:cs="Courier New" w:hint="default"/>
    </w:rPr>
  </w:style>
  <w:style w:type="character" w:customStyle="1" w:styleId="WW8Num12z2">
    <w:name w:val="WW8Num12z2"/>
    <w:rsid w:val="00AB0418"/>
    <w:rPr>
      <w:rFonts w:ascii="Wingdings" w:hAnsi="Wingdings" w:cs="Wingdings" w:hint="default"/>
    </w:rPr>
  </w:style>
  <w:style w:type="character" w:customStyle="1" w:styleId="WW8Num13z1">
    <w:name w:val="WW8Num13z1"/>
    <w:rsid w:val="00AB0418"/>
    <w:rPr>
      <w:rFonts w:ascii="Courier New" w:hAnsi="Courier New" w:cs="Courier New" w:hint="default"/>
    </w:rPr>
  </w:style>
  <w:style w:type="character" w:customStyle="1" w:styleId="WW8Num13z2">
    <w:name w:val="WW8Num13z2"/>
    <w:rsid w:val="00AB0418"/>
    <w:rPr>
      <w:rFonts w:ascii="Wingdings" w:hAnsi="Wingdings" w:cs="Wingdings" w:hint="default"/>
    </w:rPr>
  </w:style>
  <w:style w:type="character" w:customStyle="1" w:styleId="WW8Num14z1">
    <w:name w:val="WW8Num14z1"/>
    <w:rsid w:val="00AB0418"/>
    <w:rPr>
      <w:rFonts w:ascii="Courier New" w:hAnsi="Courier New" w:cs="Courier New" w:hint="default"/>
    </w:rPr>
  </w:style>
  <w:style w:type="character" w:customStyle="1" w:styleId="WW8Num14z2">
    <w:name w:val="WW8Num14z2"/>
    <w:rsid w:val="00AB0418"/>
    <w:rPr>
      <w:rFonts w:ascii="Wingdings" w:hAnsi="Wingdings" w:cs="Wingdings" w:hint="default"/>
    </w:rPr>
  </w:style>
  <w:style w:type="character" w:customStyle="1" w:styleId="WW8Num16z3">
    <w:name w:val="WW8Num16z3"/>
    <w:rsid w:val="00AB0418"/>
  </w:style>
  <w:style w:type="character" w:customStyle="1" w:styleId="WW8Num16z4">
    <w:name w:val="WW8Num16z4"/>
    <w:rsid w:val="00AB0418"/>
  </w:style>
  <w:style w:type="character" w:customStyle="1" w:styleId="WW8Num16z5">
    <w:name w:val="WW8Num16z5"/>
    <w:rsid w:val="00AB0418"/>
  </w:style>
  <w:style w:type="character" w:customStyle="1" w:styleId="WW8Num16z6">
    <w:name w:val="WW8Num16z6"/>
    <w:rsid w:val="00AB0418"/>
  </w:style>
  <w:style w:type="character" w:customStyle="1" w:styleId="WW8Num16z7">
    <w:name w:val="WW8Num16z7"/>
    <w:rsid w:val="00AB0418"/>
  </w:style>
  <w:style w:type="character" w:customStyle="1" w:styleId="WW8Num16z8">
    <w:name w:val="WW8Num16z8"/>
    <w:rsid w:val="00AB0418"/>
  </w:style>
  <w:style w:type="character" w:customStyle="1" w:styleId="WW8Num18z0">
    <w:name w:val="WW8Num18z0"/>
    <w:rsid w:val="00AB0418"/>
    <w:rPr>
      <w:rFonts w:ascii="Symbol" w:hAnsi="Symbol" w:cs="Symbol" w:hint="default"/>
      <w:sz w:val="22"/>
      <w:szCs w:val="22"/>
      <w:lang w:val="de-DE"/>
    </w:rPr>
  </w:style>
  <w:style w:type="character" w:customStyle="1" w:styleId="WW8Num18z1">
    <w:name w:val="WW8Num18z1"/>
    <w:rsid w:val="00AB0418"/>
    <w:rPr>
      <w:rFonts w:ascii="Courier New" w:hAnsi="Courier New" w:cs="Courier New" w:hint="default"/>
    </w:rPr>
  </w:style>
  <w:style w:type="character" w:customStyle="1" w:styleId="WW8Num18z2">
    <w:name w:val="WW8Num18z2"/>
    <w:rsid w:val="00AB0418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B0418"/>
  </w:style>
  <w:style w:type="character" w:customStyle="1" w:styleId="BodyText3Char">
    <w:name w:val="Body Text 3 Char"/>
    <w:rsid w:val="00AB0418"/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Char">
    <w:name w:val="Body Text Char"/>
    <w:rsid w:val="00AB0418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TitleChar">
    <w:name w:val="Title Char"/>
    <w:rsid w:val="00AB0418"/>
    <w:rPr>
      <w:rFonts w:ascii="Times New Roman" w:eastAsia="Times New Roman" w:hAnsi="Times New Roman" w:cs="Times New Roman"/>
      <w:b/>
      <w:sz w:val="20"/>
      <w:szCs w:val="20"/>
      <w:lang w:val="hr-HR"/>
    </w:rPr>
  </w:style>
  <w:style w:type="character" w:customStyle="1" w:styleId="BodyText2Char">
    <w:name w:val="Body Text 2 Char"/>
    <w:rsid w:val="00AB0418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CommentReference">
    <w:name w:val="annotation reference"/>
    <w:rsid w:val="00AB0418"/>
    <w:rPr>
      <w:sz w:val="16"/>
      <w:szCs w:val="16"/>
    </w:rPr>
  </w:style>
  <w:style w:type="character" w:customStyle="1" w:styleId="CommentTextChar">
    <w:name w:val="Comment Text Char"/>
    <w:rsid w:val="00AB0418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SubjectChar">
    <w:name w:val="Comment Subject Char"/>
    <w:rsid w:val="00AB0418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BalloonTextChar">
    <w:name w:val="Balloon Text Char"/>
    <w:rsid w:val="00AB0418"/>
    <w:rPr>
      <w:rFonts w:ascii="Tahoma" w:eastAsia="Times New Roman" w:hAnsi="Tahoma" w:cs="Tahoma"/>
      <w:sz w:val="16"/>
      <w:szCs w:val="16"/>
      <w:lang w:val="hr-HR"/>
    </w:rPr>
  </w:style>
  <w:style w:type="character" w:styleId="PageNumber">
    <w:name w:val="page number"/>
    <w:basedOn w:val="WW-DefaultParagraphFont"/>
    <w:rsid w:val="00AB0418"/>
  </w:style>
  <w:style w:type="paragraph" w:customStyle="1" w:styleId="Stilnaslova">
    <w:name w:val="Stil naslova"/>
    <w:basedOn w:val="Normal"/>
    <w:next w:val="BodyText"/>
    <w:rsid w:val="00AB04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BodyText">
    <w:name w:val="Body Text"/>
    <w:basedOn w:val="Normal"/>
    <w:link w:val="BodyTextChar1"/>
    <w:rsid w:val="00AB041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Char1">
    <w:name w:val="Body Text Char1"/>
    <w:basedOn w:val="DefaultParagraphFont"/>
    <w:link w:val="BodyText"/>
    <w:rsid w:val="00AB04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">
    <w:name w:val="List"/>
    <w:basedOn w:val="BodyText"/>
    <w:rsid w:val="00AB0418"/>
    <w:rPr>
      <w:rFonts w:cs="Arial"/>
    </w:rPr>
  </w:style>
  <w:style w:type="paragraph" w:styleId="Caption">
    <w:name w:val="caption"/>
    <w:basedOn w:val="Normal"/>
    <w:rsid w:val="00AB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rsid w:val="00AB0418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BodyText3">
    <w:name w:val="Body Text 3"/>
    <w:basedOn w:val="Normal"/>
    <w:link w:val="BodyText3Char1"/>
    <w:rsid w:val="00AB04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efaultParagraphFont"/>
    <w:link w:val="BodyText3"/>
    <w:rsid w:val="00AB041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2">
    <w:name w:val="Body Text 2"/>
    <w:basedOn w:val="Normal"/>
    <w:link w:val="BodyText2Char1"/>
    <w:rsid w:val="00AB04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2Char1">
    <w:name w:val="Body Text 2 Char1"/>
    <w:basedOn w:val="DefaultParagraphFont"/>
    <w:link w:val="BodyText2"/>
    <w:rsid w:val="00AB04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Text">
    <w:name w:val="annotation text"/>
    <w:basedOn w:val="Normal"/>
    <w:link w:val="CommentTextChar1"/>
    <w:rsid w:val="00AB04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rsid w:val="00AB04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1"/>
    <w:rsid w:val="00AB041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AB041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1"/>
    <w:rsid w:val="00AB041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link w:val="BalloonText"/>
    <w:rsid w:val="00AB041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AB041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AB0418"/>
    <w:pPr>
      <w:spacing w:after="120"/>
    </w:pPr>
  </w:style>
  <w:style w:type="paragraph" w:styleId="ListParagraph">
    <w:name w:val="List Paragraph"/>
    <w:basedOn w:val="Normal"/>
    <w:qFormat/>
    <w:rsid w:val="00AB041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AB04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B04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AB0418"/>
    <w:pPr>
      <w:suppressAutoHyphens/>
      <w:spacing w:after="150" w:line="225" w:lineRule="atLeast"/>
    </w:pPr>
    <w:rPr>
      <w:rFonts w:ascii="Verdana" w:eastAsia="Times New Roman" w:hAnsi="Verdana" w:cs="Verdana"/>
      <w:color w:val="000000"/>
      <w:sz w:val="17"/>
      <w:szCs w:val="17"/>
      <w:lang w:eastAsia="zh-CN"/>
    </w:rPr>
  </w:style>
  <w:style w:type="paragraph" w:customStyle="1" w:styleId="Sadrajitablice">
    <w:name w:val="Sadržaji tablice"/>
    <w:basedOn w:val="Normal"/>
    <w:rsid w:val="00AB04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slovtablice">
    <w:name w:val="Naslov tablice"/>
    <w:basedOn w:val="Sadrajitablice"/>
    <w:rsid w:val="00AB0418"/>
    <w:pPr>
      <w:jc w:val="center"/>
    </w:pPr>
    <w:rPr>
      <w:b/>
      <w:bCs/>
    </w:rPr>
  </w:style>
  <w:style w:type="paragraph" w:customStyle="1" w:styleId="Sadrajokvira">
    <w:name w:val="Sadržaj okvira"/>
    <w:basedOn w:val="Normal"/>
    <w:rsid w:val="00AB04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AB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B0418"/>
  </w:style>
  <w:style w:type="paragraph" w:styleId="Header">
    <w:name w:val="header"/>
    <w:basedOn w:val="Normal"/>
    <w:link w:val="HeaderChar"/>
    <w:uiPriority w:val="99"/>
    <w:unhideWhenUsed/>
    <w:rsid w:val="00AB04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B04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4391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917"/>
    <w:rPr>
      <w:color w:val="954F72"/>
      <w:u w:val="single"/>
    </w:rPr>
  </w:style>
  <w:style w:type="paragraph" w:customStyle="1" w:styleId="msonormal0">
    <w:name w:val="msonormal"/>
    <w:basedOn w:val="Normal"/>
    <w:rsid w:val="0094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9439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67">
    <w:name w:val="xl67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68">
    <w:name w:val="xl68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1">
    <w:name w:val="xl7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2">
    <w:name w:val="xl72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4">
    <w:name w:val="xl74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5">
    <w:name w:val="xl75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">
    <w:name w:val="xl76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9">
    <w:name w:val="xl79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0">
    <w:name w:val="xl80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1">
    <w:name w:val="xl8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2">
    <w:name w:val="xl82"/>
    <w:basedOn w:val="Normal"/>
    <w:rsid w:val="00943917"/>
    <w:pPr>
      <w:pBdr>
        <w:top w:val="single" w:sz="4" w:space="0" w:color="auto"/>
        <w:lef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943917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943917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943917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943917"/>
    <w:pPr>
      <w:pBdr>
        <w:top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943917"/>
    <w:pPr>
      <w:pBdr>
        <w:lef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943917"/>
    <w:pP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943917"/>
    <w:pP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943917"/>
    <w:pPr>
      <w:shd w:val="clear" w:color="000000" w:fill="ACB9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943917"/>
    <w:pPr>
      <w:pBdr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943917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943917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943917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943917"/>
    <w:pPr>
      <w:pBdr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943917"/>
    <w:pP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  <w:style w:type="paragraph" w:customStyle="1" w:styleId="xl97">
    <w:name w:val="xl97"/>
    <w:basedOn w:val="Normal"/>
    <w:rsid w:val="00943917"/>
    <w:pPr>
      <w:pBdr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  <w:style w:type="paragraph" w:customStyle="1" w:styleId="xl98">
    <w:name w:val="xl98"/>
    <w:basedOn w:val="Normal"/>
    <w:rsid w:val="00943917"/>
    <w:pPr>
      <w:pBdr>
        <w:left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943917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03">
    <w:name w:val="xl103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943917"/>
    <w:pPr>
      <w:pBdr>
        <w:top w:val="single" w:sz="4" w:space="0" w:color="auto"/>
        <w:left w:val="single" w:sz="4" w:space="0" w:color="auto"/>
      </w:pBdr>
      <w:shd w:val="clear" w:color="000000" w:fill="DCE7F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943917"/>
    <w:pPr>
      <w:pBdr>
        <w:top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943917"/>
    <w:pPr>
      <w:pBdr>
        <w:top w:val="single" w:sz="4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08">
    <w:name w:val="xl108"/>
    <w:basedOn w:val="Normal"/>
    <w:rsid w:val="00943917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09">
    <w:name w:val="xl109"/>
    <w:basedOn w:val="Normal"/>
    <w:rsid w:val="0094391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0">
    <w:name w:val="xl110"/>
    <w:basedOn w:val="Normal"/>
    <w:rsid w:val="009439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2">
    <w:name w:val="xl112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3">
    <w:name w:val="xl113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4">
    <w:name w:val="xl114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5">
    <w:name w:val="xl115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7">
    <w:name w:val="xl117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8">
    <w:name w:val="xl118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0">
    <w:name w:val="xl120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6">
    <w:name w:val="xl126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7">
    <w:name w:val="xl127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8">
    <w:name w:val="xl128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31">
    <w:name w:val="xl13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34">
    <w:name w:val="xl134"/>
    <w:basedOn w:val="Normal"/>
    <w:rsid w:val="00943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943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6">
    <w:name w:val="xl136"/>
    <w:basedOn w:val="Normal"/>
    <w:rsid w:val="00943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7">
    <w:name w:val="xl137"/>
    <w:basedOn w:val="Normal"/>
    <w:rsid w:val="00943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8">
    <w:name w:val="xl138"/>
    <w:basedOn w:val="Normal"/>
    <w:rsid w:val="00943917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9">
    <w:name w:val="xl139"/>
    <w:basedOn w:val="Normal"/>
    <w:rsid w:val="00943917"/>
    <w:pPr>
      <w:pBdr>
        <w:top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0">
    <w:name w:val="xl140"/>
    <w:basedOn w:val="Normal"/>
    <w:rsid w:val="00943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FA8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1">
    <w:name w:val="xl141"/>
    <w:basedOn w:val="Normal"/>
    <w:rsid w:val="00943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FA8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2">
    <w:name w:val="xl142"/>
    <w:basedOn w:val="Normal"/>
    <w:rsid w:val="00943917"/>
    <w:pPr>
      <w:pBdr>
        <w:left w:val="single" w:sz="4" w:space="0" w:color="auto"/>
        <w:bottom w:val="single" w:sz="4" w:space="0" w:color="auto"/>
      </w:pBdr>
      <w:shd w:val="clear" w:color="000000" w:fill="5FA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3">
    <w:name w:val="xl143"/>
    <w:basedOn w:val="Normal"/>
    <w:rsid w:val="00943917"/>
    <w:pPr>
      <w:pBdr>
        <w:bottom w:val="single" w:sz="4" w:space="0" w:color="auto"/>
        <w:right w:val="single" w:sz="4" w:space="0" w:color="auto"/>
      </w:pBdr>
      <w:shd w:val="clear" w:color="000000" w:fill="5FA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4">
    <w:name w:val="xl144"/>
    <w:basedOn w:val="Normal"/>
    <w:rsid w:val="00960F39"/>
    <w:pPr>
      <w:pBdr>
        <w:lef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  <w:style w:type="paragraph" w:customStyle="1" w:styleId="xl145">
    <w:name w:val="xl145"/>
    <w:basedOn w:val="Normal"/>
    <w:rsid w:val="00960F39"/>
    <w:pPr>
      <w:pBdr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A5B29.7B42E7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0127-EB28-4FD5-A3F7-29575EBC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18</Pages>
  <Words>8223</Words>
  <Characters>46873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541</cp:revision>
  <cp:lastPrinted>2024-02-21T12:46:00Z</cp:lastPrinted>
  <dcterms:created xsi:type="dcterms:W3CDTF">2024-02-09T10:45:00Z</dcterms:created>
  <dcterms:modified xsi:type="dcterms:W3CDTF">2024-02-22T10:57:00Z</dcterms:modified>
</cp:coreProperties>
</file>